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46" w:rsidRPr="00BB5346" w:rsidRDefault="00BA6C19" w:rsidP="00E874F6">
      <w:pPr>
        <w:ind w:firstLine="708"/>
        <w:jc w:val="both"/>
        <w:rPr>
          <w:iCs/>
          <w:lang w:val="en-GB"/>
        </w:rPr>
      </w:pPr>
      <w:r>
        <w:rPr>
          <w:iCs/>
          <w:lang w:val="en-GB"/>
        </w:rPr>
        <w:t>The Grant A</w:t>
      </w:r>
      <w:r w:rsidR="003633F7">
        <w:rPr>
          <w:iCs/>
          <w:lang w:val="en-GB"/>
        </w:rPr>
        <w:t xml:space="preserve">greement </w:t>
      </w:r>
      <w:r w:rsidR="00655276">
        <w:rPr>
          <w:iCs/>
          <w:lang w:val="en-GB"/>
        </w:rPr>
        <w:t xml:space="preserve">for </w:t>
      </w:r>
      <w:r w:rsidR="00A36B27">
        <w:rPr>
          <w:iCs/>
          <w:lang w:val="en-GB"/>
        </w:rPr>
        <w:t xml:space="preserve">R2 </w:t>
      </w:r>
      <w:proofErr w:type="spellStart"/>
      <w:r w:rsidR="00A36B27">
        <w:rPr>
          <w:iCs/>
          <w:lang w:val="en-GB"/>
        </w:rPr>
        <w:t>Žiar</w:t>
      </w:r>
      <w:proofErr w:type="spellEnd"/>
      <w:r w:rsidR="00A36B27">
        <w:rPr>
          <w:iCs/>
          <w:lang w:val="en-GB"/>
        </w:rPr>
        <w:t xml:space="preserve"> </w:t>
      </w:r>
      <w:proofErr w:type="spellStart"/>
      <w:proofErr w:type="gramStart"/>
      <w:r w:rsidR="00A36B27">
        <w:rPr>
          <w:iCs/>
          <w:lang w:val="en-GB"/>
        </w:rPr>
        <w:t>nad</w:t>
      </w:r>
      <w:proofErr w:type="spellEnd"/>
      <w:proofErr w:type="gramEnd"/>
      <w:r w:rsidR="00A36B27">
        <w:rPr>
          <w:iCs/>
          <w:lang w:val="en-GB"/>
        </w:rPr>
        <w:t xml:space="preserve"> </w:t>
      </w:r>
      <w:proofErr w:type="spellStart"/>
      <w:r w:rsidR="00A36B27">
        <w:rPr>
          <w:iCs/>
          <w:lang w:val="en-GB"/>
        </w:rPr>
        <w:t>Hronom</w:t>
      </w:r>
      <w:proofErr w:type="spellEnd"/>
      <w:r w:rsidR="00A36B27">
        <w:rPr>
          <w:iCs/>
          <w:lang w:val="en-GB"/>
        </w:rPr>
        <w:t xml:space="preserve"> - bypass</w:t>
      </w:r>
      <w:r w:rsidR="000A2E16" w:rsidRPr="00303FF7">
        <w:rPr>
          <w:iCs/>
          <w:lang w:val="en-GB"/>
        </w:rPr>
        <w:t xml:space="preserve"> </w:t>
      </w:r>
      <w:r w:rsidR="00655276">
        <w:rPr>
          <w:iCs/>
          <w:lang w:val="en-GB"/>
        </w:rPr>
        <w:t xml:space="preserve">was signed on </w:t>
      </w:r>
      <w:r w:rsidR="00A36B27">
        <w:rPr>
          <w:iCs/>
          <w:lang w:val="en-GB"/>
        </w:rPr>
        <w:t>10</w:t>
      </w:r>
      <w:r w:rsidR="00655276" w:rsidRPr="00655276">
        <w:rPr>
          <w:iCs/>
          <w:vertAlign w:val="superscript"/>
          <w:lang w:val="en-GB"/>
        </w:rPr>
        <w:t>th</w:t>
      </w:r>
      <w:r w:rsidR="00A36B27">
        <w:rPr>
          <w:iCs/>
          <w:lang w:val="en-GB"/>
        </w:rPr>
        <w:t xml:space="preserve"> April</w:t>
      </w:r>
      <w:r w:rsidR="00655276">
        <w:rPr>
          <w:iCs/>
          <w:lang w:val="en-GB"/>
        </w:rPr>
        <w:t xml:space="preserve"> </w:t>
      </w:r>
      <w:r w:rsidR="00A36B27">
        <w:rPr>
          <w:iCs/>
          <w:lang w:val="en-GB"/>
        </w:rPr>
        <w:t>2013</w:t>
      </w:r>
      <w:r w:rsidR="000A2E16" w:rsidRPr="00303FF7">
        <w:rPr>
          <w:iCs/>
          <w:lang w:val="en-GB"/>
        </w:rPr>
        <w:t xml:space="preserve">. </w:t>
      </w:r>
      <w:r>
        <w:rPr>
          <w:iCs/>
          <w:lang w:val="en-GB"/>
        </w:rPr>
        <w:t>A f</w:t>
      </w:r>
      <w:r w:rsidR="00655276">
        <w:rPr>
          <w:iCs/>
          <w:lang w:val="en-GB"/>
        </w:rPr>
        <w:t xml:space="preserve">inancial contribution </w:t>
      </w:r>
      <w:r w:rsidR="001B60C2">
        <w:rPr>
          <w:iCs/>
          <w:lang w:val="en-GB"/>
        </w:rPr>
        <w:t xml:space="preserve">was granted </w:t>
      </w:r>
      <w:r w:rsidR="00655276">
        <w:rPr>
          <w:iCs/>
          <w:lang w:val="en-GB"/>
        </w:rPr>
        <w:t>fo</w:t>
      </w:r>
      <w:r w:rsidR="00A36B27">
        <w:rPr>
          <w:iCs/>
          <w:lang w:val="en-GB"/>
        </w:rPr>
        <w:t xml:space="preserve">r construction of </w:t>
      </w:r>
      <w:r>
        <w:rPr>
          <w:iCs/>
          <w:lang w:val="en-GB"/>
        </w:rPr>
        <w:t xml:space="preserve">the </w:t>
      </w:r>
      <w:r w:rsidR="00A36B27">
        <w:rPr>
          <w:iCs/>
          <w:lang w:val="en-GB"/>
        </w:rPr>
        <w:t xml:space="preserve">new </w:t>
      </w:r>
      <w:r>
        <w:rPr>
          <w:iCs/>
          <w:lang w:val="en-GB"/>
        </w:rPr>
        <w:t xml:space="preserve">expressway section </w:t>
      </w:r>
      <w:r w:rsidR="00A36B27">
        <w:rPr>
          <w:iCs/>
          <w:lang w:val="en-GB"/>
        </w:rPr>
        <w:t xml:space="preserve">R2 in </w:t>
      </w:r>
      <w:r>
        <w:rPr>
          <w:iCs/>
          <w:lang w:val="en-GB"/>
        </w:rPr>
        <w:t xml:space="preserve">the </w:t>
      </w:r>
      <w:r w:rsidR="00A36B27">
        <w:rPr>
          <w:iCs/>
          <w:lang w:val="en-GB"/>
        </w:rPr>
        <w:t>length of 5</w:t>
      </w:r>
      <w:r>
        <w:rPr>
          <w:iCs/>
          <w:lang w:val="en-GB"/>
        </w:rPr>
        <w:t>.</w:t>
      </w:r>
      <w:r w:rsidR="00A36B27">
        <w:rPr>
          <w:iCs/>
          <w:lang w:val="en-GB"/>
        </w:rPr>
        <w:t>7</w:t>
      </w:r>
      <w:r w:rsidR="001B60C2">
        <w:rPr>
          <w:iCs/>
          <w:lang w:val="en-GB"/>
        </w:rPr>
        <w:t>km</w:t>
      </w:r>
      <w:r w:rsidR="000A2E16" w:rsidRPr="00303FF7">
        <w:rPr>
          <w:iCs/>
          <w:lang w:val="en-GB"/>
        </w:rPr>
        <w:t xml:space="preserve">. </w:t>
      </w:r>
      <w:r w:rsidR="00655276">
        <w:rPr>
          <w:iCs/>
          <w:lang w:val="en-GB"/>
        </w:rPr>
        <w:t>The beneficiary</w:t>
      </w:r>
      <w:r w:rsidR="00BB5346">
        <w:rPr>
          <w:iCs/>
          <w:lang w:val="en-GB"/>
        </w:rPr>
        <w:t xml:space="preserve"> -</w:t>
      </w:r>
      <w:r w:rsidR="00655276">
        <w:rPr>
          <w:iCs/>
          <w:lang w:val="en-GB"/>
        </w:rPr>
        <w:t xml:space="preserve"> National Motorway Company was granted </w:t>
      </w:r>
      <w:r>
        <w:rPr>
          <w:iCs/>
          <w:lang w:val="en-GB"/>
        </w:rPr>
        <w:t xml:space="preserve">the </w:t>
      </w:r>
      <w:r w:rsidR="00655276">
        <w:rPr>
          <w:iCs/>
          <w:lang w:val="en-GB"/>
        </w:rPr>
        <w:t xml:space="preserve">funding </w:t>
      </w:r>
      <w:r>
        <w:rPr>
          <w:iCs/>
          <w:lang w:val="en-GB"/>
        </w:rPr>
        <w:t xml:space="preserve">of </w:t>
      </w:r>
      <w:r>
        <w:rPr>
          <w:b/>
          <w:iCs/>
          <w:lang w:val="en-GB"/>
        </w:rPr>
        <w:t>29 972 528.</w:t>
      </w:r>
      <w:r w:rsidR="00A36B27">
        <w:rPr>
          <w:b/>
          <w:iCs/>
          <w:lang w:val="en-GB"/>
        </w:rPr>
        <w:t>55</w:t>
      </w:r>
      <w:r w:rsidR="00BB6798" w:rsidRPr="00303FF7">
        <w:rPr>
          <w:b/>
          <w:iCs/>
          <w:lang w:val="en-GB"/>
        </w:rPr>
        <w:t xml:space="preserve"> </w:t>
      </w:r>
      <w:r w:rsidR="000A2E16" w:rsidRPr="00303FF7">
        <w:rPr>
          <w:b/>
          <w:iCs/>
          <w:lang w:val="en-GB"/>
        </w:rPr>
        <w:t>EUR</w:t>
      </w:r>
      <w:r>
        <w:rPr>
          <w:b/>
          <w:iCs/>
          <w:lang w:val="en-GB"/>
        </w:rPr>
        <w:t xml:space="preserve"> </w:t>
      </w:r>
      <w:r w:rsidR="00BB5346">
        <w:rPr>
          <w:iCs/>
          <w:lang w:val="en-GB"/>
        </w:rPr>
        <w:t xml:space="preserve">which consisted of </w:t>
      </w:r>
      <w:r>
        <w:rPr>
          <w:b/>
          <w:lang w:val="en-GB"/>
        </w:rPr>
        <w:t>25 476 649.</w:t>
      </w:r>
      <w:r w:rsidR="00A36B27">
        <w:rPr>
          <w:b/>
          <w:lang w:val="en-GB"/>
        </w:rPr>
        <w:t>27</w:t>
      </w:r>
      <w:r w:rsidR="00BB5346" w:rsidRPr="00303FF7">
        <w:rPr>
          <w:b/>
          <w:lang w:val="en-GB"/>
        </w:rPr>
        <w:t xml:space="preserve"> EUR</w:t>
      </w:r>
      <w:r w:rsidR="00BB5346">
        <w:rPr>
          <w:b/>
          <w:lang w:val="en-GB"/>
        </w:rPr>
        <w:t xml:space="preserve"> </w:t>
      </w:r>
      <w:r w:rsidR="00BB5346">
        <w:rPr>
          <w:lang w:val="en-GB"/>
        </w:rPr>
        <w:t>from</w:t>
      </w:r>
      <w:r>
        <w:rPr>
          <w:lang w:val="en-GB"/>
        </w:rPr>
        <w:t xml:space="preserve"> the</w:t>
      </w:r>
      <w:r w:rsidR="00BB5346">
        <w:rPr>
          <w:lang w:val="en-GB"/>
        </w:rPr>
        <w:t xml:space="preserve"> Cohesion Fund (85% of total amount) and </w:t>
      </w:r>
      <w:r w:rsidR="00E874F6">
        <w:rPr>
          <w:lang w:val="en-GB"/>
        </w:rPr>
        <w:t xml:space="preserve">the </w:t>
      </w:r>
      <w:r w:rsidR="00BB5346">
        <w:rPr>
          <w:lang w:val="en-GB"/>
        </w:rPr>
        <w:t xml:space="preserve">national contribution of </w:t>
      </w:r>
      <w:r w:rsidR="005D631E">
        <w:rPr>
          <w:b/>
          <w:lang w:val="en-GB"/>
        </w:rPr>
        <w:t>4 495 879.</w:t>
      </w:r>
      <w:r w:rsidR="00A36B27">
        <w:rPr>
          <w:b/>
          <w:lang w:val="en-GB"/>
        </w:rPr>
        <w:t>28</w:t>
      </w:r>
      <w:r w:rsidR="00BB5346" w:rsidRPr="00303FF7">
        <w:rPr>
          <w:b/>
          <w:lang w:val="en-GB"/>
        </w:rPr>
        <w:t xml:space="preserve"> EUR</w:t>
      </w:r>
      <w:r w:rsidR="00BB5346">
        <w:rPr>
          <w:lang w:val="en-GB"/>
        </w:rPr>
        <w:t xml:space="preserve"> (15% of </w:t>
      </w:r>
      <w:r w:rsidR="00E874F6">
        <w:rPr>
          <w:lang w:val="en-GB"/>
        </w:rPr>
        <w:t>the total amount). The f</w:t>
      </w:r>
      <w:r w:rsidR="00BB5346">
        <w:rPr>
          <w:lang w:val="en-GB"/>
        </w:rPr>
        <w:t xml:space="preserve">inancial contribution was based on </w:t>
      </w:r>
      <w:r w:rsidR="00E874F6">
        <w:rPr>
          <w:lang w:val="en-GB"/>
        </w:rPr>
        <w:t xml:space="preserve">a </w:t>
      </w:r>
      <w:r w:rsidR="00BB5346">
        <w:rPr>
          <w:lang w:val="en-GB"/>
        </w:rPr>
        <w:t>financial analysis (</w:t>
      </w:r>
      <w:r w:rsidR="00E874F6">
        <w:rPr>
          <w:lang w:val="en-GB"/>
        </w:rPr>
        <w:t>within the</w:t>
      </w:r>
      <w:r w:rsidR="00BB5346">
        <w:rPr>
          <w:lang w:val="en-GB"/>
        </w:rPr>
        <w:t xml:space="preserve"> cost-benefit analysis – CBA) of the project and</w:t>
      </w:r>
      <w:r w:rsidR="00E874F6">
        <w:rPr>
          <w:lang w:val="en-GB"/>
        </w:rPr>
        <w:t xml:space="preserve"> the funding</w:t>
      </w:r>
      <w:r w:rsidR="00BB5346">
        <w:rPr>
          <w:lang w:val="en-GB"/>
        </w:rPr>
        <w:t xml:space="preserve"> gap </w:t>
      </w:r>
      <w:r w:rsidR="00E874F6">
        <w:rPr>
          <w:lang w:val="en-GB"/>
        </w:rPr>
        <w:t>resulted in</w:t>
      </w:r>
      <w:r w:rsidR="00BB5346">
        <w:rPr>
          <w:lang w:val="en-GB"/>
        </w:rPr>
        <w:t xml:space="preserve"> </w:t>
      </w:r>
      <w:r w:rsidR="00A36B27">
        <w:rPr>
          <w:b/>
          <w:lang w:val="en-GB"/>
        </w:rPr>
        <w:t>98</w:t>
      </w:r>
      <w:r w:rsidR="00E874F6">
        <w:rPr>
          <w:b/>
          <w:lang w:val="en-GB"/>
        </w:rPr>
        <w:t>.</w:t>
      </w:r>
      <w:r w:rsidR="00A36B27">
        <w:rPr>
          <w:b/>
          <w:lang w:val="en-GB"/>
        </w:rPr>
        <w:t>15</w:t>
      </w:r>
      <w:r w:rsidR="00BB5346">
        <w:rPr>
          <w:b/>
          <w:lang w:val="en-GB"/>
        </w:rPr>
        <w:t xml:space="preserve"> </w:t>
      </w:r>
      <w:r w:rsidR="00BB5346" w:rsidRPr="00BB5346">
        <w:rPr>
          <w:b/>
          <w:lang w:val="en-GB"/>
        </w:rPr>
        <w:t>%</w:t>
      </w:r>
      <w:r w:rsidR="00E874F6">
        <w:rPr>
          <w:lang w:val="en-GB"/>
        </w:rPr>
        <w:t xml:space="preserve">. The expressway section </w:t>
      </w:r>
      <w:r w:rsidR="00A36B27">
        <w:rPr>
          <w:iCs/>
          <w:lang w:val="en-GB"/>
        </w:rPr>
        <w:t xml:space="preserve">R2 </w:t>
      </w:r>
      <w:proofErr w:type="spellStart"/>
      <w:r w:rsidR="00A36B27">
        <w:rPr>
          <w:iCs/>
          <w:lang w:val="en-GB"/>
        </w:rPr>
        <w:t>Žiar</w:t>
      </w:r>
      <w:proofErr w:type="spellEnd"/>
      <w:r w:rsidR="00A36B27">
        <w:rPr>
          <w:iCs/>
          <w:lang w:val="en-GB"/>
        </w:rPr>
        <w:t xml:space="preserve"> </w:t>
      </w:r>
      <w:proofErr w:type="spellStart"/>
      <w:proofErr w:type="gramStart"/>
      <w:r w:rsidR="00A36B27">
        <w:rPr>
          <w:iCs/>
          <w:lang w:val="en-GB"/>
        </w:rPr>
        <w:t>nad</w:t>
      </w:r>
      <w:proofErr w:type="spellEnd"/>
      <w:proofErr w:type="gramEnd"/>
      <w:r w:rsidR="00A36B27">
        <w:rPr>
          <w:iCs/>
          <w:lang w:val="en-GB"/>
        </w:rPr>
        <w:t xml:space="preserve"> </w:t>
      </w:r>
      <w:proofErr w:type="spellStart"/>
      <w:r w:rsidR="00A36B27">
        <w:rPr>
          <w:iCs/>
          <w:lang w:val="en-GB"/>
        </w:rPr>
        <w:t>Hronom</w:t>
      </w:r>
      <w:proofErr w:type="spellEnd"/>
      <w:r w:rsidR="00A36B27">
        <w:rPr>
          <w:iCs/>
          <w:lang w:val="en-GB"/>
        </w:rPr>
        <w:t xml:space="preserve"> - bypass</w:t>
      </w:r>
      <w:r w:rsidR="00BB5346">
        <w:rPr>
          <w:lang w:val="en-GB"/>
        </w:rPr>
        <w:t xml:space="preserve"> has</w:t>
      </w:r>
      <w:r w:rsidR="00A36B27">
        <w:rPr>
          <w:lang w:val="en-GB"/>
        </w:rPr>
        <w:t xml:space="preserve"> been in use since December 2014</w:t>
      </w:r>
      <w:r w:rsidR="00BB5346">
        <w:rPr>
          <w:lang w:val="en-GB"/>
        </w:rPr>
        <w:t>.</w:t>
      </w:r>
    </w:p>
    <w:p w:rsidR="00BB5346" w:rsidRPr="001D6403" w:rsidRDefault="00BB5346" w:rsidP="00E874F6">
      <w:pPr>
        <w:jc w:val="both"/>
      </w:pPr>
    </w:p>
    <w:p w:rsidR="00E874F6" w:rsidRDefault="00E874F6" w:rsidP="00E874F6">
      <w:pPr>
        <w:jc w:val="both"/>
        <w:rPr>
          <w:lang w:val="en-GB"/>
        </w:rPr>
      </w:pPr>
      <w:r>
        <w:rPr>
          <w:lang w:val="en-GB"/>
        </w:rPr>
        <w:t>The Managing Authority</w:t>
      </w:r>
      <w:r w:rsidRPr="00C77CA9">
        <w:rPr>
          <w:lang w:val="en-GB"/>
        </w:rPr>
        <w:t xml:space="preserve"> </w:t>
      </w:r>
      <w:r>
        <w:rPr>
          <w:lang w:val="en-GB"/>
        </w:rPr>
        <w:t>for</w:t>
      </w:r>
      <w:r w:rsidRPr="00C77CA9">
        <w:rPr>
          <w:lang w:val="en-GB"/>
        </w:rPr>
        <w:t xml:space="preserve"> OPII decided to verify and update </w:t>
      </w:r>
      <w:r>
        <w:rPr>
          <w:lang w:val="en-GB"/>
        </w:rPr>
        <w:t xml:space="preserve">the </w:t>
      </w:r>
      <w:r w:rsidRPr="00C77CA9">
        <w:rPr>
          <w:lang w:val="en-GB"/>
        </w:rPr>
        <w:t xml:space="preserve">CBA with </w:t>
      </w:r>
      <w:r>
        <w:rPr>
          <w:lang w:val="en-GB"/>
        </w:rPr>
        <w:t>the objective</w:t>
      </w:r>
      <w:r w:rsidRPr="00C77CA9">
        <w:rPr>
          <w:lang w:val="en-GB"/>
        </w:rPr>
        <w:t xml:space="preserve"> of improving</w:t>
      </w:r>
      <w:r>
        <w:rPr>
          <w:lang w:val="en-GB"/>
        </w:rPr>
        <w:t xml:space="preserve"> the </w:t>
      </w:r>
      <w:r w:rsidRPr="00C77CA9">
        <w:rPr>
          <w:lang w:val="en-GB"/>
        </w:rPr>
        <w:t>future</w:t>
      </w:r>
      <w:r>
        <w:rPr>
          <w:lang w:val="en-GB"/>
        </w:rPr>
        <w:t xml:space="preserve"> </w:t>
      </w:r>
      <w:r w:rsidRPr="00C77CA9">
        <w:rPr>
          <w:lang w:val="en-GB"/>
        </w:rPr>
        <w:t xml:space="preserve">quality of </w:t>
      </w:r>
      <w:r>
        <w:rPr>
          <w:lang w:val="en-GB"/>
        </w:rPr>
        <w:t xml:space="preserve">the </w:t>
      </w:r>
      <w:r w:rsidRPr="00C77CA9">
        <w:rPr>
          <w:lang w:val="en-GB"/>
        </w:rPr>
        <w:t>projects´</w:t>
      </w:r>
      <w:r>
        <w:rPr>
          <w:lang w:val="en-GB"/>
        </w:rPr>
        <w:t xml:space="preserve"> </w:t>
      </w:r>
      <w:r w:rsidRPr="00C77CA9">
        <w:rPr>
          <w:lang w:val="en-GB"/>
        </w:rPr>
        <w:t>CBAs</w:t>
      </w:r>
      <w:r>
        <w:rPr>
          <w:lang w:val="en-GB"/>
        </w:rPr>
        <w:t xml:space="preserve"> submitted in OPII and subsequently increasing effectiveness of the funds drawing from the national and EU sources.</w:t>
      </w:r>
    </w:p>
    <w:p w:rsidR="00C77CA9" w:rsidRPr="001D6403" w:rsidRDefault="00C77CA9" w:rsidP="00E874F6">
      <w:pPr>
        <w:jc w:val="both"/>
      </w:pPr>
    </w:p>
    <w:p w:rsidR="004D4455" w:rsidRDefault="001D6403" w:rsidP="00E874F6">
      <w:pPr>
        <w:jc w:val="both"/>
        <w:rPr>
          <w:lang w:val="en-GB"/>
        </w:rPr>
      </w:pPr>
      <w:r>
        <w:rPr>
          <w:lang w:val="en-GB"/>
        </w:rPr>
        <w:t xml:space="preserve">In ex-post CBA the following input data were updated based on years 2015 – 2017 (exception being GDP where prediction explained below was used): </w:t>
      </w:r>
    </w:p>
    <w:p w:rsidR="00E874F6" w:rsidRPr="00303FF7" w:rsidRDefault="00E874F6" w:rsidP="00E874F6">
      <w:pPr>
        <w:jc w:val="both"/>
        <w:rPr>
          <w:lang w:val="en-GB"/>
        </w:rPr>
      </w:pPr>
    </w:p>
    <w:p w:rsidR="009B2E0D" w:rsidRPr="00303FF7" w:rsidRDefault="00856DF3" w:rsidP="00E874F6">
      <w:pPr>
        <w:ind w:firstLine="709"/>
        <w:jc w:val="both"/>
        <w:rPr>
          <w:i/>
          <w:iCs/>
          <w:sz w:val="20"/>
          <w:szCs w:val="20"/>
          <w:lang w:val="en-GB"/>
        </w:rPr>
      </w:pPr>
      <w:r>
        <w:rPr>
          <w:i/>
          <w:iCs/>
          <w:sz w:val="20"/>
          <w:szCs w:val="20"/>
          <w:lang w:val="en-GB"/>
        </w:rPr>
        <w:t>G</w:t>
      </w:r>
      <w:r w:rsidR="009B2E0D" w:rsidRPr="00303FF7">
        <w:rPr>
          <w:i/>
          <w:iCs/>
          <w:sz w:val="20"/>
          <w:szCs w:val="20"/>
          <w:lang w:val="en-GB"/>
        </w:rPr>
        <w:t xml:space="preserve">DP – </w:t>
      </w:r>
      <w:r>
        <w:rPr>
          <w:i/>
          <w:iCs/>
          <w:sz w:val="20"/>
          <w:szCs w:val="20"/>
          <w:lang w:val="en-GB"/>
        </w:rPr>
        <w:t>source</w:t>
      </w:r>
      <w:r w:rsidR="009B2E0D" w:rsidRPr="00303FF7">
        <w:rPr>
          <w:i/>
          <w:iCs/>
          <w:sz w:val="20"/>
          <w:szCs w:val="20"/>
          <w:lang w:val="en-GB"/>
        </w:rPr>
        <w:t xml:space="preserve">: </w:t>
      </w:r>
      <w:r w:rsidR="00EF01F1">
        <w:rPr>
          <w:i/>
          <w:iCs/>
          <w:sz w:val="20"/>
          <w:szCs w:val="20"/>
          <w:lang w:val="en-GB"/>
        </w:rPr>
        <w:t>Statistical Office of the Slovak Republic</w:t>
      </w:r>
      <w:r w:rsidR="009B2E0D" w:rsidRPr="00303FF7">
        <w:rPr>
          <w:i/>
          <w:iCs/>
          <w:sz w:val="20"/>
          <w:szCs w:val="20"/>
          <w:lang w:val="en-GB"/>
        </w:rPr>
        <w:t>, Minist</w:t>
      </w:r>
      <w:r w:rsidR="00EF01F1">
        <w:rPr>
          <w:i/>
          <w:iCs/>
          <w:sz w:val="20"/>
          <w:szCs w:val="20"/>
          <w:lang w:val="en-GB"/>
        </w:rPr>
        <w:t>ry of Finance of the Slovak Republic</w:t>
      </w:r>
      <w:r w:rsidR="009B2E0D" w:rsidRPr="00303FF7">
        <w:rPr>
          <w:i/>
          <w:iCs/>
          <w:sz w:val="20"/>
          <w:szCs w:val="20"/>
          <w:lang w:val="en-GB"/>
        </w:rPr>
        <w:t xml:space="preserve">, </w:t>
      </w:r>
      <w:r w:rsidR="00EF01F1">
        <w:rPr>
          <w:i/>
          <w:iCs/>
          <w:sz w:val="20"/>
          <w:szCs w:val="20"/>
          <w:lang w:val="en-GB"/>
        </w:rPr>
        <w:t xml:space="preserve">CBA </w:t>
      </w:r>
      <w:r w:rsidR="001D6403">
        <w:rPr>
          <w:i/>
          <w:iCs/>
          <w:sz w:val="20"/>
          <w:szCs w:val="20"/>
          <w:lang w:val="en-GB"/>
        </w:rPr>
        <w:tab/>
      </w:r>
      <w:r w:rsidR="00EF01F1">
        <w:rPr>
          <w:i/>
          <w:iCs/>
          <w:sz w:val="20"/>
          <w:szCs w:val="20"/>
          <w:lang w:val="en-GB"/>
        </w:rPr>
        <w:t xml:space="preserve">guide for </w:t>
      </w:r>
      <w:r w:rsidR="009B2E0D" w:rsidRPr="00303FF7">
        <w:rPr>
          <w:i/>
          <w:iCs/>
          <w:sz w:val="20"/>
          <w:szCs w:val="20"/>
          <w:lang w:val="en-GB"/>
        </w:rPr>
        <w:t>OPII ver</w:t>
      </w:r>
      <w:r w:rsidR="00EF01F1">
        <w:rPr>
          <w:i/>
          <w:iCs/>
          <w:sz w:val="20"/>
          <w:szCs w:val="20"/>
          <w:lang w:val="en-GB"/>
        </w:rPr>
        <w:t xml:space="preserve">sion </w:t>
      </w:r>
      <w:r w:rsidR="001D7B81">
        <w:rPr>
          <w:i/>
          <w:iCs/>
          <w:sz w:val="20"/>
          <w:szCs w:val="20"/>
          <w:lang w:val="en-GB"/>
        </w:rPr>
        <w:t>2</w:t>
      </w:r>
    </w:p>
    <w:p w:rsidR="00EF01F1" w:rsidRDefault="00A64A32" w:rsidP="00E874F6">
      <w:pPr>
        <w:ind w:firstLine="709"/>
        <w:jc w:val="both"/>
        <w:rPr>
          <w:i/>
          <w:iCs/>
          <w:sz w:val="20"/>
          <w:szCs w:val="20"/>
          <w:lang w:val="en-GB"/>
        </w:rPr>
      </w:pPr>
      <w:r>
        <w:rPr>
          <w:i/>
          <w:iCs/>
          <w:sz w:val="20"/>
          <w:szCs w:val="20"/>
          <w:lang w:val="en-GB"/>
        </w:rPr>
        <w:t>Inflation</w:t>
      </w:r>
      <w:r w:rsidR="009B2E0D" w:rsidRPr="00303FF7">
        <w:rPr>
          <w:i/>
          <w:iCs/>
          <w:sz w:val="20"/>
          <w:szCs w:val="20"/>
          <w:lang w:val="en-GB"/>
        </w:rPr>
        <w:t xml:space="preserve"> – </w:t>
      </w:r>
      <w:r w:rsidR="001B60C2">
        <w:rPr>
          <w:i/>
          <w:iCs/>
          <w:sz w:val="20"/>
          <w:szCs w:val="20"/>
          <w:lang w:val="en-GB"/>
        </w:rPr>
        <w:t>source</w:t>
      </w:r>
      <w:r w:rsidR="009B2E0D" w:rsidRPr="00303FF7">
        <w:rPr>
          <w:i/>
          <w:iCs/>
          <w:sz w:val="20"/>
          <w:szCs w:val="20"/>
          <w:lang w:val="en-GB"/>
        </w:rPr>
        <w:t xml:space="preserve">:  </w:t>
      </w:r>
      <w:r w:rsidR="00EF01F1">
        <w:rPr>
          <w:i/>
          <w:iCs/>
          <w:sz w:val="20"/>
          <w:szCs w:val="20"/>
          <w:lang w:val="en-GB"/>
        </w:rPr>
        <w:t>Statistical Office of the Slovak Republic</w:t>
      </w:r>
      <w:r w:rsidR="00EF01F1" w:rsidRPr="00303FF7">
        <w:rPr>
          <w:i/>
          <w:iCs/>
          <w:sz w:val="20"/>
          <w:szCs w:val="20"/>
          <w:lang w:val="en-GB"/>
        </w:rPr>
        <w:t xml:space="preserve"> </w:t>
      </w:r>
    </w:p>
    <w:p w:rsidR="009B2E0D" w:rsidRPr="00303FF7" w:rsidRDefault="00A64A32" w:rsidP="00E874F6">
      <w:pPr>
        <w:ind w:firstLine="709"/>
        <w:jc w:val="both"/>
        <w:rPr>
          <w:i/>
          <w:iCs/>
          <w:sz w:val="20"/>
          <w:szCs w:val="20"/>
          <w:lang w:val="en-GB"/>
        </w:rPr>
      </w:pPr>
      <w:r>
        <w:rPr>
          <w:i/>
          <w:iCs/>
          <w:sz w:val="20"/>
          <w:szCs w:val="20"/>
          <w:lang w:val="en-GB"/>
        </w:rPr>
        <w:t>Average fuel prices</w:t>
      </w:r>
      <w:r w:rsidR="009B2E0D" w:rsidRPr="00303FF7">
        <w:rPr>
          <w:i/>
          <w:iCs/>
          <w:sz w:val="20"/>
          <w:szCs w:val="20"/>
          <w:lang w:val="en-GB"/>
        </w:rPr>
        <w:t xml:space="preserve"> – </w:t>
      </w:r>
      <w:r w:rsidR="00A034A5">
        <w:rPr>
          <w:i/>
          <w:iCs/>
          <w:sz w:val="20"/>
          <w:szCs w:val="20"/>
          <w:lang w:val="en-GB"/>
        </w:rPr>
        <w:t>source</w:t>
      </w:r>
      <w:r w:rsidR="009B2E0D" w:rsidRPr="00303FF7">
        <w:rPr>
          <w:i/>
          <w:iCs/>
          <w:sz w:val="20"/>
          <w:szCs w:val="20"/>
          <w:lang w:val="en-GB"/>
        </w:rPr>
        <w:t xml:space="preserve">:  </w:t>
      </w:r>
      <w:r w:rsidR="00EF01F1">
        <w:rPr>
          <w:i/>
          <w:iCs/>
          <w:sz w:val="20"/>
          <w:szCs w:val="20"/>
          <w:lang w:val="en-GB"/>
        </w:rPr>
        <w:t>Statistical Office of the Slovak Republic</w:t>
      </w:r>
    </w:p>
    <w:p w:rsidR="009B2E0D" w:rsidRPr="00303FF7" w:rsidRDefault="00A64A32" w:rsidP="00E874F6">
      <w:pPr>
        <w:ind w:firstLine="709"/>
        <w:jc w:val="both"/>
        <w:rPr>
          <w:i/>
          <w:iCs/>
          <w:sz w:val="20"/>
          <w:szCs w:val="20"/>
          <w:lang w:val="en-GB"/>
        </w:rPr>
      </w:pPr>
      <w:r>
        <w:rPr>
          <w:i/>
          <w:iCs/>
          <w:sz w:val="20"/>
          <w:szCs w:val="20"/>
          <w:lang w:val="en-GB"/>
        </w:rPr>
        <w:t>Investment cost</w:t>
      </w:r>
      <w:r w:rsidR="009B2E0D" w:rsidRPr="00303FF7">
        <w:rPr>
          <w:i/>
          <w:iCs/>
          <w:sz w:val="20"/>
          <w:szCs w:val="20"/>
          <w:lang w:val="en-GB"/>
        </w:rPr>
        <w:t xml:space="preserve"> – </w:t>
      </w:r>
      <w:r w:rsidR="001B60C2">
        <w:rPr>
          <w:i/>
          <w:iCs/>
          <w:sz w:val="20"/>
          <w:szCs w:val="20"/>
          <w:lang w:val="en-GB"/>
        </w:rPr>
        <w:t>source</w:t>
      </w:r>
      <w:r w:rsidR="009B2E0D" w:rsidRPr="00303FF7">
        <w:rPr>
          <w:i/>
          <w:iCs/>
          <w:sz w:val="20"/>
          <w:szCs w:val="20"/>
          <w:lang w:val="en-GB"/>
        </w:rPr>
        <w:t xml:space="preserve">: </w:t>
      </w:r>
      <w:r w:rsidR="00EF01F1">
        <w:rPr>
          <w:i/>
          <w:iCs/>
          <w:sz w:val="20"/>
          <w:szCs w:val="20"/>
          <w:lang w:val="en-GB"/>
        </w:rPr>
        <w:t>National Motorway Company accounting</w:t>
      </w:r>
    </w:p>
    <w:p w:rsidR="009B2E0D" w:rsidRPr="00303FF7" w:rsidRDefault="00A64A32" w:rsidP="00E874F6">
      <w:pPr>
        <w:ind w:firstLine="709"/>
        <w:jc w:val="both"/>
        <w:rPr>
          <w:i/>
          <w:iCs/>
          <w:sz w:val="20"/>
          <w:szCs w:val="20"/>
          <w:lang w:val="en-GB"/>
        </w:rPr>
      </w:pPr>
      <w:r>
        <w:rPr>
          <w:i/>
          <w:iCs/>
          <w:sz w:val="20"/>
          <w:szCs w:val="20"/>
          <w:lang w:val="en-GB"/>
        </w:rPr>
        <w:t>Traffic volumes</w:t>
      </w:r>
      <w:r w:rsidR="009B2E0D" w:rsidRPr="00303FF7">
        <w:rPr>
          <w:i/>
          <w:iCs/>
          <w:sz w:val="20"/>
          <w:szCs w:val="20"/>
          <w:lang w:val="en-GB"/>
        </w:rPr>
        <w:t xml:space="preserve"> – </w:t>
      </w:r>
      <w:r w:rsidR="001B60C2">
        <w:rPr>
          <w:i/>
          <w:iCs/>
          <w:sz w:val="20"/>
          <w:szCs w:val="20"/>
          <w:lang w:val="en-GB"/>
        </w:rPr>
        <w:t>source</w:t>
      </w:r>
      <w:r w:rsidR="001D6403">
        <w:rPr>
          <w:i/>
          <w:iCs/>
          <w:sz w:val="20"/>
          <w:szCs w:val="20"/>
          <w:lang w:val="en-GB"/>
        </w:rPr>
        <w:t>: nation-wide traffic count of</w:t>
      </w:r>
      <w:r w:rsidR="009B2E0D" w:rsidRPr="00303FF7">
        <w:rPr>
          <w:i/>
          <w:iCs/>
          <w:sz w:val="20"/>
          <w:szCs w:val="20"/>
          <w:lang w:val="en-GB"/>
        </w:rPr>
        <w:t xml:space="preserve"> SSC</w:t>
      </w:r>
      <w:r w:rsidR="00975506" w:rsidRPr="00303FF7">
        <w:rPr>
          <w:i/>
          <w:iCs/>
          <w:sz w:val="20"/>
          <w:szCs w:val="20"/>
          <w:lang w:val="en-GB"/>
        </w:rPr>
        <w:t xml:space="preserve"> 2015</w:t>
      </w:r>
      <w:r w:rsidR="001D6403">
        <w:rPr>
          <w:i/>
          <w:iCs/>
          <w:sz w:val="20"/>
          <w:szCs w:val="20"/>
          <w:lang w:val="en-GB"/>
        </w:rPr>
        <w:t>, automatic traffic counter of</w:t>
      </w:r>
      <w:r w:rsidR="009B2E0D" w:rsidRPr="00303FF7">
        <w:rPr>
          <w:i/>
          <w:iCs/>
          <w:sz w:val="20"/>
          <w:szCs w:val="20"/>
          <w:lang w:val="en-GB"/>
        </w:rPr>
        <w:t xml:space="preserve"> NDS</w:t>
      </w:r>
      <w:r w:rsidR="00975506" w:rsidRPr="00303FF7">
        <w:rPr>
          <w:i/>
          <w:iCs/>
          <w:sz w:val="20"/>
          <w:szCs w:val="20"/>
          <w:lang w:val="en-GB"/>
        </w:rPr>
        <w:t>,</w:t>
      </w:r>
      <w:r w:rsidR="009B2E0D" w:rsidRPr="00303FF7">
        <w:rPr>
          <w:i/>
          <w:iCs/>
          <w:sz w:val="20"/>
          <w:szCs w:val="20"/>
          <w:lang w:val="en-GB"/>
        </w:rPr>
        <w:t xml:space="preserve"> </w:t>
      </w:r>
      <w:proofErr w:type="spellStart"/>
      <w:r w:rsidR="009B2E0D" w:rsidRPr="00303FF7">
        <w:rPr>
          <w:i/>
          <w:iCs/>
          <w:sz w:val="20"/>
          <w:szCs w:val="20"/>
          <w:lang w:val="en-GB"/>
        </w:rPr>
        <w:t>a.s</w:t>
      </w:r>
      <w:proofErr w:type="spellEnd"/>
      <w:r w:rsidR="009B2E0D" w:rsidRPr="00303FF7">
        <w:rPr>
          <w:i/>
          <w:iCs/>
          <w:sz w:val="20"/>
          <w:szCs w:val="20"/>
          <w:lang w:val="en-GB"/>
        </w:rPr>
        <w:t xml:space="preserve">.  </w:t>
      </w:r>
    </w:p>
    <w:p w:rsidR="009B2E0D" w:rsidRPr="001D6403" w:rsidRDefault="00A64A32" w:rsidP="00E874F6">
      <w:pPr>
        <w:ind w:firstLine="709"/>
        <w:jc w:val="both"/>
        <w:rPr>
          <w:i/>
          <w:iCs/>
          <w:sz w:val="20"/>
          <w:szCs w:val="20"/>
          <w:lang w:val="en-GB"/>
        </w:rPr>
      </w:pPr>
      <w:r w:rsidRPr="001D6403">
        <w:rPr>
          <w:i/>
          <w:sz w:val="20"/>
          <w:szCs w:val="20"/>
          <w:lang w:val="en-GB"/>
        </w:rPr>
        <w:t>Infrastructure and maintenance cost</w:t>
      </w:r>
      <w:r w:rsidRPr="001D6403">
        <w:rPr>
          <w:i/>
          <w:iCs/>
          <w:sz w:val="20"/>
          <w:szCs w:val="20"/>
          <w:lang w:val="en-GB"/>
        </w:rPr>
        <w:t xml:space="preserve"> </w:t>
      </w:r>
      <w:r w:rsidR="009B2E0D" w:rsidRPr="001D6403">
        <w:rPr>
          <w:i/>
          <w:iCs/>
          <w:sz w:val="20"/>
          <w:szCs w:val="20"/>
          <w:lang w:val="en-GB"/>
        </w:rPr>
        <w:t xml:space="preserve">– </w:t>
      </w:r>
      <w:r w:rsidR="001B60C2" w:rsidRPr="001D6403">
        <w:rPr>
          <w:i/>
          <w:iCs/>
          <w:sz w:val="20"/>
          <w:szCs w:val="20"/>
          <w:lang w:val="en-GB"/>
        </w:rPr>
        <w:t>source</w:t>
      </w:r>
      <w:r w:rsidR="009B2E0D" w:rsidRPr="001D6403">
        <w:rPr>
          <w:i/>
          <w:iCs/>
          <w:sz w:val="20"/>
          <w:szCs w:val="20"/>
          <w:lang w:val="en-GB"/>
        </w:rPr>
        <w:t xml:space="preserve">: </w:t>
      </w:r>
      <w:r w:rsidR="00EF01F1" w:rsidRPr="001D6403">
        <w:rPr>
          <w:i/>
          <w:iCs/>
          <w:sz w:val="20"/>
          <w:szCs w:val="20"/>
          <w:lang w:val="en-GB"/>
        </w:rPr>
        <w:t>National Motorway Company accounting</w:t>
      </w:r>
    </w:p>
    <w:p w:rsidR="009B2E0D" w:rsidRPr="00303FF7" w:rsidRDefault="001B60C2" w:rsidP="00E874F6">
      <w:pPr>
        <w:ind w:firstLine="709"/>
        <w:jc w:val="both"/>
        <w:rPr>
          <w:i/>
          <w:iCs/>
          <w:sz w:val="20"/>
          <w:szCs w:val="20"/>
          <w:lang w:val="en-GB"/>
        </w:rPr>
      </w:pPr>
      <w:r>
        <w:rPr>
          <w:i/>
          <w:iCs/>
          <w:sz w:val="20"/>
          <w:szCs w:val="20"/>
          <w:lang w:val="en-GB"/>
        </w:rPr>
        <w:t>Revenues</w:t>
      </w:r>
      <w:r w:rsidR="009B2E0D" w:rsidRPr="00303FF7">
        <w:rPr>
          <w:i/>
          <w:iCs/>
          <w:sz w:val="20"/>
          <w:szCs w:val="20"/>
          <w:lang w:val="en-GB"/>
        </w:rPr>
        <w:t xml:space="preserve"> – </w:t>
      </w:r>
      <w:r>
        <w:rPr>
          <w:i/>
          <w:iCs/>
          <w:sz w:val="20"/>
          <w:szCs w:val="20"/>
          <w:lang w:val="en-GB"/>
        </w:rPr>
        <w:t>source</w:t>
      </w:r>
      <w:r w:rsidR="009B2E0D" w:rsidRPr="00303FF7">
        <w:rPr>
          <w:i/>
          <w:iCs/>
          <w:sz w:val="20"/>
          <w:szCs w:val="20"/>
          <w:lang w:val="en-GB"/>
        </w:rPr>
        <w:t xml:space="preserve">: </w:t>
      </w:r>
      <w:r w:rsidR="00EF01F1">
        <w:rPr>
          <w:i/>
          <w:iCs/>
          <w:sz w:val="20"/>
          <w:szCs w:val="20"/>
          <w:lang w:val="en-GB"/>
        </w:rPr>
        <w:t>National Motorway Company accounting</w:t>
      </w:r>
    </w:p>
    <w:p w:rsidR="009B2E0D" w:rsidRPr="00303FF7" w:rsidRDefault="001B60C2" w:rsidP="00E874F6">
      <w:pPr>
        <w:ind w:firstLine="709"/>
        <w:jc w:val="both"/>
        <w:rPr>
          <w:i/>
          <w:iCs/>
          <w:sz w:val="20"/>
          <w:szCs w:val="20"/>
          <w:lang w:val="en-GB"/>
        </w:rPr>
      </w:pPr>
      <w:r>
        <w:rPr>
          <w:i/>
          <w:iCs/>
          <w:sz w:val="20"/>
          <w:szCs w:val="20"/>
          <w:lang w:val="en-GB"/>
        </w:rPr>
        <w:t>Accidents</w:t>
      </w:r>
      <w:r w:rsidR="000A2E16" w:rsidRPr="00303FF7">
        <w:rPr>
          <w:i/>
          <w:iCs/>
          <w:sz w:val="20"/>
          <w:szCs w:val="20"/>
          <w:lang w:val="en-GB"/>
        </w:rPr>
        <w:t xml:space="preserve"> – </w:t>
      </w:r>
      <w:r>
        <w:rPr>
          <w:i/>
          <w:iCs/>
          <w:sz w:val="20"/>
          <w:szCs w:val="20"/>
          <w:lang w:val="en-GB"/>
        </w:rPr>
        <w:t>source</w:t>
      </w:r>
      <w:r w:rsidR="000A2E16" w:rsidRPr="00303FF7">
        <w:rPr>
          <w:i/>
          <w:iCs/>
          <w:sz w:val="20"/>
          <w:szCs w:val="20"/>
          <w:lang w:val="en-GB"/>
        </w:rPr>
        <w:t xml:space="preserve">: </w:t>
      </w:r>
      <w:r>
        <w:rPr>
          <w:i/>
          <w:iCs/>
          <w:sz w:val="20"/>
          <w:szCs w:val="20"/>
          <w:lang w:val="en-GB"/>
        </w:rPr>
        <w:t xml:space="preserve">Police Force of the Slovak republic </w:t>
      </w:r>
    </w:p>
    <w:p w:rsidR="00A91AAA" w:rsidRPr="00303FF7" w:rsidRDefault="00A91AAA" w:rsidP="00E874F6">
      <w:pPr>
        <w:ind w:firstLine="709"/>
        <w:jc w:val="both"/>
        <w:rPr>
          <w:i/>
          <w:iCs/>
          <w:sz w:val="20"/>
          <w:szCs w:val="20"/>
          <w:lang w:val="en-GB"/>
        </w:rPr>
      </w:pPr>
    </w:p>
    <w:p w:rsidR="009B2E0D" w:rsidRDefault="001D7B81" w:rsidP="00E874F6">
      <w:pPr>
        <w:jc w:val="both"/>
        <w:rPr>
          <w:lang w:val="en-GB"/>
        </w:rPr>
      </w:pPr>
      <w:r>
        <w:rPr>
          <w:lang w:val="en-GB"/>
        </w:rPr>
        <w:t>CBA of whole project was re-counted al</w:t>
      </w:r>
      <w:r w:rsidR="00A36B27">
        <w:rPr>
          <w:lang w:val="en-GB"/>
        </w:rPr>
        <w:t>ong with prediction to year 2041</w:t>
      </w:r>
      <w:r>
        <w:rPr>
          <w:lang w:val="en-GB"/>
        </w:rPr>
        <w:t xml:space="preserve">. </w:t>
      </w:r>
    </w:p>
    <w:p w:rsidR="001D6403" w:rsidRPr="001D6403" w:rsidRDefault="001D6403" w:rsidP="00E874F6">
      <w:pPr>
        <w:jc w:val="both"/>
        <w:rPr>
          <w:lang w:val="en-GB"/>
        </w:rPr>
      </w:pPr>
    </w:p>
    <w:p w:rsidR="005D0DCB" w:rsidRPr="00303FF7" w:rsidRDefault="00215139" w:rsidP="00E874F6">
      <w:pPr>
        <w:jc w:val="both"/>
        <w:rPr>
          <w:b/>
          <w:sz w:val="28"/>
          <w:szCs w:val="28"/>
          <w:lang w:val="en-GB"/>
        </w:rPr>
      </w:pPr>
      <w:r w:rsidRPr="00303FF7">
        <w:rPr>
          <w:b/>
          <w:sz w:val="28"/>
          <w:szCs w:val="28"/>
          <w:lang w:val="en-GB"/>
        </w:rPr>
        <w:t>Asses</w:t>
      </w:r>
      <w:r>
        <w:rPr>
          <w:b/>
          <w:sz w:val="28"/>
          <w:szCs w:val="28"/>
          <w:lang w:val="en-GB"/>
        </w:rPr>
        <w:t>s</w:t>
      </w:r>
      <w:r w:rsidRPr="00303FF7">
        <w:rPr>
          <w:b/>
          <w:sz w:val="28"/>
          <w:szCs w:val="28"/>
          <w:lang w:val="en-GB"/>
        </w:rPr>
        <w:t>ment</w:t>
      </w:r>
      <w:r w:rsidR="00676588" w:rsidRPr="00303FF7">
        <w:rPr>
          <w:b/>
          <w:sz w:val="28"/>
          <w:szCs w:val="28"/>
          <w:lang w:val="en-GB"/>
        </w:rPr>
        <w:t xml:space="preserve"> of </w:t>
      </w:r>
      <w:r w:rsidR="00E874F6">
        <w:rPr>
          <w:b/>
          <w:sz w:val="28"/>
          <w:szCs w:val="28"/>
          <w:lang w:val="en-GB"/>
        </w:rPr>
        <w:t xml:space="preserve">the </w:t>
      </w:r>
      <w:r w:rsidR="00676588" w:rsidRPr="00303FF7">
        <w:rPr>
          <w:b/>
          <w:sz w:val="28"/>
          <w:szCs w:val="28"/>
          <w:lang w:val="en-GB"/>
        </w:rPr>
        <w:t xml:space="preserve">financial analysis </w:t>
      </w:r>
    </w:p>
    <w:p w:rsidR="00182228" w:rsidRPr="00303FF7" w:rsidRDefault="00182228" w:rsidP="00E874F6">
      <w:pPr>
        <w:jc w:val="both"/>
        <w:rPr>
          <w:b/>
          <w:sz w:val="28"/>
          <w:szCs w:val="28"/>
          <w:lang w:val="en-GB"/>
        </w:rPr>
      </w:pPr>
    </w:p>
    <w:p w:rsidR="001D7B81" w:rsidRDefault="00E874F6" w:rsidP="00E874F6">
      <w:pPr>
        <w:ind w:firstLine="708"/>
        <w:jc w:val="both"/>
        <w:rPr>
          <w:lang w:val="en-GB"/>
        </w:rPr>
      </w:pPr>
      <w:r>
        <w:rPr>
          <w:lang w:val="en-GB"/>
        </w:rPr>
        <w:t>The f</w:t>
      </w:r>
      <w:r w:rsidR="00676588" w:rsidRPr="00303FF7">
        <w:rPr>
          <w:lang w:val="en-GB"/>
        </w:rPr>
        <w:t>unding gap</w:t>
      </w:r>
      <w:r>
        <w:rPr>
          <w:lang w:val="en-GB"/>
        </w:rPr>
        <w:t xml:space="preserve"> has</w:t>
      </w:r>
      <w:r w:rsidR="00676588" w:rsidRPr="00303FF7">
        <w:rPr>
          <w:lang w:val="en-GB"/>
        </w:rPr>
        <w:t xml:space="preserve"> raised from </w:t>
      </w:r>
      <w:r w:rsidR="00A54B65">
        <w:rPr>
          <w:b/>
          <w:lang w:val="en-GB"/>
        </w:rPr>
        <w:t>98</w:t>
      </w:r>
      <w:r>
        <w:rPr>
          <w:b/>
          <w:lang w:val="en-GB"/>
        </w:rPr>
        <w:t>.</w:t>
      </w:r>
      <w:r w:rsidR="00A54B65">
        <w:rPr>
          <w:b/>
          <w:lang w:val="en-GB"/>
        </w:rPr>
        <w:t>15</w:t>
      </w:r>
      <w:r w:rsidR="005E35CB" w:rsidRPr="00303FF7">
        <w:rPr>
          <w:b/>
          <w:lang w:val="en-GB"/>
        </w:rPr>
        <w:t xml:space="preserve">% </w:t>
      </w:r>
      <w:r w:rsidR="00676588" w:rsidRPr="00164FC7">
        <w:rPr>
          <w:lang w:val="en-GB"/>
        </w:rPr>
        <w:t>to</w:t>
      </w:r>
      <w:r w:rsidR="00676588" w:rsidRPr="00303FF7">
        <w:rPr>
          <w:b/>
          <w:lang w:val="en-GB"/>
        </w:rPr>
        <w:t xml:space="preserve"> </w:t>
      </w:r>
      <w:r>
        <w:rPr>
          <w:b/>
          <w:lang w:val="en-GB"/>
        </w:rPr>
        <w:t>100%</w:t>
      </w:r>
      <w:r w:rsidR="005E35CB" w:rsidRPr="00303FF7">
        <w:rPr>
          <w:lang w:val="en-GB"/>
        </w:rPr>
        <w:t xml:space="preserve"> </w:t>
      </w:r>
      <w:r w:rsidRPr="00303FF7">
        <w:rPr>
          <w:lang w:val="en-GB"/>
        </w:rPr>
        <w:t>which means that</w:t>
      </w:r>
      <w:r>
        <w:rPr>
          <w:lang w:val="en-GB"/>
        </w:rPr>
        <w:t xml:space="preserve"> amount of the EU grant for eligible costs</w:t>
      </w:r>
      <w:r w:rsidRPr="00303FF7">
        <w:rPr>
          <w:lang w:val="en-GB"/>
        </w:rPr>
        <w:t xml:space="preserve"> </w:t>
      </w:r>
      <w:r>
        <w:rPr>
          <w:lang w:val="en-GB"/>
        </w:rPr>
        <w:t>should be bigger than the amount included in the Grant Agreement</w:t>
      </w:r>
      <w:r w:rsidR="00F77623">
        <w:rPr>
          <w:lang w:val="en-GB"/>
        </w:rPr>
        <w:t xml:space="preserve"> from </w:t>
      </w:r>
      <w:r w:rsidR="00A54B65">
        <w:rPr>
          <w:lang w:val="en-GB"/>
        </w:rPr>
        <w:t>2013</w:t>
      </w:r>
      <w:r w:rsidR="005E35CB" w:rsidRPr="00303FF7">
        <w:rPr>
          <w:lang w:val="en-GB"/>
        </w:rPr>
        <w:t xml:space="preserve">. </w:t>
      </w:r>
      <w:r>
        <w:rPr>
          <w:lang w:val="en-GB"/>
        </w:rPr>
        <w:t>This is due to the fact</w:t>
      </w:r>
      <w:r w:rsidR="00F77623">
        <w:rPr>
          <w:lang w:val="en-GB"/>
        </w:rPr>
        <w:t xml:space="preserve"> that the project</w:t>
      </w:r>
      <w:r w:rsidR="001141C2">
        <w:rPr>
          <w:lang w:val="en-GB"/>
        </w:rPr>
        <w:t>´s toll revenues</w:t>
      </w:r>
      <w:r w:rsidR="001D7B81">
        <w:rPr>
          <w:lang w:val="en-GB"/>
        </w:rPr>
        <w:t xml:space="preserve"> ca</w:t>
      </w:r>
      <w:r>
        <w:rPr>
          <w:lang w:val="en-GB"/>
        </w:rPr>
        <w:t>nnot cover expenses related to operation</w:t>
      </w:r>
      <w:r w:rsidR="001D7B81">
        <w:rPr>
          <w:lang w:val="en-GB"/>
        </w:rPr>
        <w:t xml:space="preserve"> costs and </w:t>
      </w:r>
      <w:r>
        <w:rPr>
          <w:lang w:val="en-GB"/>
        </w:rPr>
        <w:t xml:space="preserve">the </w:t>
      </w:r>
      <w:r w:rsidR="001D7B81">
        <w:rPr>
          <w:lang w:val="en-GB"/>
        </w:rPr>
        <w:t xml:space="preserve">infrastructure maintenance </w:t>
      </w:r>
      <w:r>
        <w:rPr>
          <w:lang w:val="en-GB"/>
        </w:rPr>
        <w:t>with</w:t>
      </w:r>
      <w:r w:rsidR="001D7B81">
        <w:rPr>
          <w:lang w:val="en-GB"/>
        </w:rPr>
        <w:t xml:space="preserve">in any </w:t>
      </w:r>
      <w:r w:rsidR="00777D62">
        <w:rPr>
          <w:lang w:val="en-GB"/>
        </w:rPr>
        <w:t xml:space="preserve">year </w:t>
      </w:r>
      <w:r>
        <w:rPr>
          <w:lang w:val="en-GB"/>
        </w:rPr>
        <w:t xml:space="preserve">of the 30-years long reference </w:t>
      </w:r>
      <w:r w:rsidR="00777D62">
        <w:rPr>
          <w:lang w:val="en-GB"/>
        </w:rPr>
        <w:t>period</w:t>
      </w:r>
      <w:r w:rsidR="003A6ABC">
        <w:rPr>
          <w:lang w:val="en-GB"/>
        </w:rPr>
        <w:t>.</w:t>
      </w:r>
    </w:p>
    <w:p w:rsidR="005E35CB" w:rsidRPr="00303FF7" w:rsidRDefault="005E35CB" w:rsidP="00E874F6">
      <w:pPr>
        <w:jc w:val="both"/>
        <w:rPr>
          <w:lang w:val="en-GB"/>
        </w:rPr>
      </w:pPr>
    </w:p>
    <w:tbl>
      <w:tblPr>
        <w:tblStyle w:val="Svetlmrieka"/>
        <w:tblW w:w="0" w:type="auto"/>
        <w:tblInd w:w="108" w:type="dxa"/>
        <w:tblLook w:val="04A0" w:firstRow="1" w:lastRow="0" w:firstColumn="1" w:lastColumn="0" w:noHBand="0" w:noVBand="1"/>
      </w:tblPr>
      <w:tblGrid>
        <w:gridCol w:w="2592"/>
        <w:gridCol w:w="3294"/>
        <w:gridCol w:w="3186"/>
      </w:tblGrid>
      <w:tr w:rsidR="004644B7" w:rsidRPr="00303FF7" w:rsidTr="000F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4644B7" w:rsidRPr="00303FF7" w:rsidRDefault="00676588" w:rsidP="00E874F6">
            <w:pPr>
              <w:jc w:val="both"/>
              <w:rPr>
                <w:b w:val="0"/>
                <w:lang w:val="en-GB"/>
              </w:rPr>
            </w:pPr>
            <w:r w:rsidRPr="00303FF7">
              <w:rPr>
                <w:b w:val="0"/>
                <w:lang w:val="en-GB"/>
              </w:rPr>
              <w:t>Investment cost</w:t>
            </w:r>
          </w:p>
        </w:tc>
        <w:tc>
          <w:tcPr>
            <w:tcW w:w="3294" w:type="dxa"/>
          </w:tcPr>
          <w:p w:rsidR="004644B7"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A54B65">
              <w:rPr>
                <w:lang w:val="en-GB"/>
              </w:rPr>
              <w:t xml:space="preserve"> 30 869 906</w:t>
            </w:r>
            <w:r w:rsidR="004644B7" w:rsidRPr="00303FF7">
              <w:rPr>
                <w:lang w:val="en-GB"/>
              </w:rPr>
              <w:t xml:space="preserve"> EUR</w:t>
            </w:r>
          </w:p>
        </w:tc>
        <w:tc>
          <w:tcPr>
            <w:tcW w:w="3186" w:type="dxa"/>
          </w:tcPr>
          <w:p w:rsidR="004644B7"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A54B65">
              <w:rPr>
                <w:lang w:val="en-GB"/>
              </w:rPr>
              <w:t xml:space="preserve">33 331 084 </w:t>
            </w:r>
            <w:r w:rsidR="004644B7" w:rsidRPr="00303FF7">
              <w:rPr>
                <w:lang w:val="en-GB"/>
              </w:rPr>
              <w:t>EUR</w:t>
            </w:r>
          </w:p>
        </w:tc>
      </w:tr>
    </w:tbl>
    <w:p w:rsidR="00E874F6" w:rsidRDefault="00954445" w:rsidP="00E874F6">
      <w:pPr>
        <w:jc w:val="both"/>
        <w:rPr>
          <w:lang w:val="en-GB"/>
        </w:rPr>
      </w:pPr>
      <w:r w:rsidRPr="006310B6">
        <w:rPr>
          <w:lang w:val="en-GB"/>
        </w:rPr>
        <w:t xml:space="preserve">Increase in </w:t>
      </w:r>
      <w:r w:rsidR="00E874F6">
        <w:rPr>
          <w:lang w:val="en-GB"/>
        </w:rPr>
        <w:t xml:space="preserve">the </w:t>
      </w:r>
      <w:r w:rsidRPr="006310B6">
        <w:rPr>
          <w:lang w:val="en-GB"/>
        </w:rPr>
        <w:t xml:space="preserve">Investment cost was caused </w:t>
      </w:r>
      <w:r w:rsidR="006310B6" w:rsidRPr="006310B6">
        <w:rPr>
          <w:lang w:val="en-GB"/>
        </w:rPr>
        <w:t xml:space="preserve">primarily </w:t>
      </w:r>
      <w:r w:rsidRPr="006310B6">
        <w:rPr>
          <w:lang w:val="en-GB"/>
        </w:rPr>
        <w:t>by landslide</w:t>
      </w:r>
      <w:r w:rsidR="006310B6" w:rsidRPr="006310B6">
        <w:rPr>
          <w:lang w:val="en-GB"/>
        </w:rPr>
        <w:t xml:space="preserve"> during</w:t>
      </w:r>
      <w:r w:rsidR="00E874F6">
        <w:rPr>
          <w:lang w:val="en-GB"/>
        </w:rPr>
        <w:t xml:space="preserve"> the</w:t>
      </w:r>
      <w:r w:rsidR="006310B6" w:rsidRPr="006310B6">
        <w:rPr>
          <w:lang w:val="en-GB"/>
        </w:rPr>
        <w:t xml:space="preserve"> construction</w:t>
      </w:r>
      <w:r w:rsidR="00E874F6">
        <w:rPr>
          <w:lang w:val="en-GB"/>
        </w:rPr>
        <w:t xml:space="preserve"> period</w:t>
      </w:r>
      <w:r w:rsidRPr="006310B6">
        <w:rPr>
          <w:lang w:val="en-GB"/>
        </w:rPr>
        <w:t xml:space="preserve"> and </w:t>
      </w:r>
      <w:r w:rsidR="00E874F6">
        <w:rPr>
          <w:lang w:val="en-GB"/>
        </w:rPr>
        <w:t xml:space="preserve">the subsequent </w:t>
      </w:r>
      <w:r w:rsidRPr="006310B6">
        <w:rPr>
          <w:lang w:val="en-GB"/>
        </w:rPr>
        <w:t xml:space="preserve">redevelopment of </w:t>
      </w:r>
      <w:r w:rsidR="00E874F6">
        <w:rPr>
          <w:lang w:val="en-GB"/>
        </w:rPr>
        <w:t xml:space="preserve">the </w:t>
      </w:r>
      <w:r w:rsidRPr="006310B6">
        <w:rPr>
          <w:lang w:val="en-GB"/>
        </w:rPr>
        <w:t xml:space="preserve">territory, </w:t>
      </w:r>
      <w:r w:rsidR="00E874F6">
        <w:rPr>
          <w:lang w:val="en-GB"/>
        </w:rPr>
        <w:t>resulting in signing of amendments to the contract for construction works.</w:t>
      </w:r>
    </w:p>
    <w:p w:rsidR="00C8283B" w:rsidRPr="00303FF7" w:rsidRDefault="00C8283B" w:rsidP="00E874F6">
      <w:pPr>
        <w:jc w:val="both"/>
        <w:rPr>
          <w:lang w:val="en-GB"/>
        </w:rPr>
      </w:pPr>
    </w:p>
    <w:tbl>
      <w:tblPr>
        <w:tblStyle w:val="Svetlmrieka"/>
        <w:tblW w:w="0" w:type="auto"/>
        <w:tblInd w:w="108" w:type="dxa"/>
        <w:tblLook w:val="04A0" w:firstRow="1" w:lastRow="0" w:firstColumn="1" w:lastColumn="0" w:noHBand="0" w:noVBand="1"/>
      </w:tblPr>
      <w:tblGrid>
        <w:gridCol w:w="2592"/>
        <w:gridCol w:w="3294"/>
        <w:gridCol w:w="3186"/>
      </w:tblGrid>
      <w:tr w:rsidR="00C0220D" w:rsidRPr="00303FF7" w:rsidTr="000F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C0220D" w:rsidRPr="00303FF7" w:rsidRDefault="00676588" w:rsidP="00E874F6">
            <w:pPr>
              <w:jc w:val="both"/>
              <w:rPr>
                <w:b w:val="0"/>
                <w:lang w:val="en-GB"/>
              </w:rPr>
            </w:pPr>
            <w:r w:rsidRPr="00303FF7">
              <w:rPr>
                <w:b w:val="0"/>
                <w:lang w:val="en-GB"/>
              </w:rPr>
              <w:t>Residual value</w:t>
            </w:r>
          </w:p>
        </w:tc>
        <w:tc>
          <w:tcPr>
            <w:tcW w:w="3294"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A54B65">
              <w:rPr>
                <w:lang w:val="en-GB"/>
              </w:rPr>
              <w:t xml:space="preserve"> 0</w:t>
            </w:r>
            <w:r w:rsidR="00C0220D" w:rsidRPr="00303FF7">
              <w:rPr>
                <w:lang w:val="en-GB"/>
              </w:rPr>
              <w:t xml:space="preserve"> EUR</w:t>
            </w:r>
          </w:p>
        </w:tc>
        <w:tc>
          <w:tcPr>
            <w:tcW w:w="3186"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C0220D" w:rsidRPr="00303FF7">
              <w:rPr>
                <w:lang w:val="en-GB"/>
              </w:rPr>
              <w:t>0 EUR</w:t>
            </w:r>
          </w:p>
        </w:tc>
      </w:tr>
    </w:tbl>
    <w:p w:rsidR="003A6ABC" w:rsidRDefault="00A54B65" w:rsidP="00E874F6">
      <w:pPr>
        <w:jc w:val="both"/>
        <w:rPr>
          <w:lang w:val="en-GB"/>
        </w:rPr>
      </w:pPr>
      <w:r>
        <w:rPr>
          <w:lang w:val="en-GB"/>
        </w:rPr>
        <w:t xml:space="preserve">Updated inputs did not cause any change </w:t>
      </w:r>
      <w:r w:rsidR="00E874F6">
        <w:rPr>
          <w:lang w:val="en-GB"/>
        </w:rPr>
        <w:t>of</w:t>
      </w:r>
      <w:r>
        <w:rPr>
          <w:lang w:val="en-GB"/>
        </w:rPr>
        <w:t xml:space="preserve"> this indicator.</w:t>
      </w:r>
    </w:p>
    <w:p w:rsidR="00C8283B" w:rsidRPr="00303FF7" w:rsidRDefault="00C8283B" w:rsidP="00E874F6">
      <w:pPr>
        <w:jc w:val="both"/>
        <w:rPr>
          <w:lang w:val="en-GB"/>
        </w:rPr>
      </w:pPr>
    </w:p>
    <w:tbl>
      <w:tblPr>
        <w:tblStyle w:val="Svetlmrieka"/>
        <w:tblW w:w="0" w:type="auto"/>
        <w:tblInd w:w="108" w:type="dxa"/>
        <w:tblLook w:val="04A0" w:firstRow="1" w:lastRow="0" w:firstColumn="1" w:lastColumn="0" w:noHBand="0" w:noVBand="1"/>
      </w:tblPr>
      <w:tblGrid>
        <w:gridCol w:w="2560"/>
        <w:gridCol w:w="3244"/>
        <w:gridCol w:w="3140"/>
      </w:tblGrid>
      <w:tr w:rsidR="00C0220D" w:rsidRPr="00303FF7" w:rsidTr="00190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C0220D" w:rsidRPr="00303FF7" w:rsidRDefault="00676588" w:rsidP="00E874F6">
            <w:pPr>
              <w:jc w:val="both"/>
              <w:rPr>
                <w:b w:val="0"/>
                <w:lang w:val="en-GB"/>
              </w:rPr>
            </w:pPr>
            <w:r w:rsidRPr="00303FF7">
              <w:rPr>
                <w:b w:val="0"/>
                <w:lang w:val="en-GB"/>
              </w:rPr>
              <w:t>Revenues</w:t>
            </w:r>
          </w:p>
        </w:tc>
        <w:tc>
          <w:tcPr>
            <w:tcW w:w="3244"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C0220D" w:rsidRPr="00303FF7">
              <w:rPr>
                <w:lang w:val="en-GB"/>
              </w:rPr>
              <w:t xml:space="preserve"> </w:t>
            </w:r>
            <w:r w:rsidR="00A54B65">
              <w:rPr>
                <w:lang w:val="en-GB"/>
              </w:rPr>
              <w:t>5 381 475</w:t>
            </w:r>
            <w:r w:rsidR="00D113FE" w:rsidRPr="00303FF7">
              <w:rPr>
                <w:lang w:val="en-GB"/>
              </w:rPr>
              <w:t xml:space="preserve"> </w:t>
            </w:r>
            <w:r w:rsidR="00C0220D" w:rsidRPr="00303FF7">
              <w:rPr>
                <w:lang w:val="en-GB"/>
              </w:rPr>
              <w:t>EUR</w:t>
            </w:r>
          </w:p>
        </w:tc>
        <w:tc>
          <w:tcPr>
            <w:tcW w:w="3140"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A54B65">
              <w:rPr>
                <w:lang w:val="en-GB"/>
              </w:rPr>
              <w:t>8 413 369</w:t>
            </w:r>
            <w:r w:rsidR="00D113FE" w:rsidRPr="00303FF7">
              <w:rPr>
                <w:lang w:val="en-GB"/>
              </w:rPr>
              <w:t xml:space="preserve"> </w:t>
            </w:r>
            <w:r w:rsidR="00C0220D" w:rsidRPr="00303FF7">
              <w:rPr>
                <w:lang w:val="en-GB"/>
              </w:rPr>
              <w:t>EUR</w:t>
            </w:r>
          </w:p>
        </w:tc>
      </w:tr>
    </w:tbl>
    <w:p w:rsidR="00190C46" w:rsidRDefault="00190C46" w:rsidP="00190C46">
      <w:pPr>
        <w:jc w:val="both"/>
        <w:rPr>
          <w:lang w:val="en-GB"/>
        </w:rPr>
      </w:pPr>
      <w:r>
        <w:rPr>
          <w:lang w:val="en-GB"/>
        </w:rPr>
        <w:t>The project´s toll revenues are directly dependent on heavy traffic intensities. The heavy traffic intensities on selected road section are lower compared to the anticipated traffic intensities in the original CBA.</w:t>
      </w:r>
    </w:p>
    <w:p w:rsidR="00C8283B" w:rsidRPr="00303FF7" w:rsidRDefault="00C8283B" w:rsidP="00E874F6">
      <w:pPr>
        <w:jc w:val="both"/>
        <w:rPr>
          <w:lang w:val="en-GB"/>
        </w:rPr>
      </w:pPr>
    </w:p>
    <w:tbl>
      <w:tblPr>
        <w:tblStyle w:val="Svetlmrieka"/>
        <w:tblW w:w="0" w:type="auto"/>
        <w:tblInd w:w="108" w:type="dxa"/>
        <w:tblLook w:val="04A0" w:firstRow="1" w:lastRow="0" w:firstColumn="1" w:lastColumn="0" w:noHBand="0" w:noVBand="1"/>
      </w:tblPr>
      <w:tblGrid>
        <w:gridCol w:w="2566"/>
        <w:gridCol w:w="3241"/>
        <w:gridCol w:w="3137"/>
      </w:tblGrid>
      <w:tr w:rsidR="00C0220D" w:rsidRPr="00303FF7" w:rsidTr="00190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6" w:type="dxa"/>
          </w:tcPr>
          <w:p w:rsidR="00C0220D" w:rsidRPr="00303FF7" w:rsidRDefault="00676588" w:rsidP="00E874F6">
            <w:pPr>
              <w:rPr>
                <w:b w:val="0"/>
                <w:lang w:val="en-GB"/>
              </w:rPr>
            </w:pPr>
            <w:r w:rsidRPr="00303FF7">
              <w:rPr>
                <w:b w:val="0"/>
                <w:lang w:val="en-GB"/>
              </w:rPr>
              <w:t>Infrastructure</w:t>
            </w:r>
            <w:r w:rsidR="00E874F6">
              <w:rPr>
                <w:b w:val="0"/>
                <w:lang w:val="en-GB"/>
              </w:rPr>
              <w:t xml:space="preserve"> </w:t>
            </w:r>
            <w:r w:rsidRPr="00303FF7">
              <w:rPr>
                <w:b w:val="0"/>
                <w:lang w:val="en-GB"/>
              </w:rPr>
              <w:t>and maintenance cost</w:t>
            </w:r>
          </w:p>
        </w:tc>
        <w:tc>
          <w:tcPr>
            <w:tcW w:w="3241"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C0220D" w:rsidRPr="00303FF7">
              <w:rPr>
                <w:lang w:val="en-GB"/>
              </w:rPr>
              <w:t xml:space="preserve"> </w:t>
            </w:r>
            <w:r w:rsidR="00A54B65">
              <w:rPr>
                <w:lang w:val="en-GB"/>
              </w:rPr>
              <w:t>4 936 446</w:t>
            </w:r>
            <w:r w:rsidR="00C0220D" w:rsidRPr="00303FF7">
              <w:rPr>
                <w:lang w:val="en-GB"/>
              </w:rPr>
              <w:t xml:space="preserve"> EUR</w:t>
            </w:r>
          </w:p>
        </w:tc>
        <w:tc>
          <w:tcPr>
            <w:tcW w:w="3137" w:type="dxa"/>
          </w:tcPr>
          <w:p w:rsidR="00C0220D"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A54B65">
              <w:rPr>
                <w:lang w:val="en-GB"/>
              </w:rPr>
              <w:t>10 292 548</w:t>
            </w:r>
            <w:r w:rsidR="00C74C62" w:rsidRPr="00303FF7">
              <w:rPr>
                <w:lang w:val="en-GB"/>
              </w:rPr>
              <w:t xml:space="preserve"> </w:t>
            </w:r>
            <w:r w:rsidR="00C0220D" w:rsidRPr="00303FF7">
              <w:rPr>
                <w:lang w:val="en-GB"/>
              </w:rPr>
              <w:t>EUR</w:t>
            </w:r>
          </w:p>
        </w:tc>
      </w:tr>
    </w:tbl>
    <w:p w:rsidR="00190C46" w:rsidRDefault="00190C46" w:rsidP="00190C46">
      <w:pPr>
        <w:jc w:val="both"/>
        <w:rPr>
          <w:lang w:val="en-GB"/>
        </w:rPr>
      </w:pPr>
      <w:r>
        <w:rPr>
          <w:lang w:val="en-GB"/>
        </w:rPr>
        <w:t>Maintenance and operation costs of the infrastructure were calculated with use of the OPD methodology. The Managing Authority for OPII updated the calculation method which makes the estimation of costs more accurate.</w:t>
      </w:r>
    </w:p>
    <w:p w:rsidR="00931790" w:rsidRDefault="00931790" w:rsidP="00E874F6">
      <w:pPr>
        <w:jc w:val="both"/>
        <w:rPr>
          <w:lang w:val="en-GB"/>
        </w:rPr>
      </w:pPr>
    </w:p>
    <w:p w:rsidR="00931790" w:rsidRDefault="00931790" w:rsidP="00E874F6">
      <w:pPr>
        <w:jc w:val="both"/>
        <w:rPr>
          <w:b/>
          <w:sz w:val="28"/>
          <w:szCs w:val="28"/>
          <w:lang w:val="en-GB"/>
        </w:rPr>
      </w:pPr>
    </w:p>
    <w:p w:rsidR="00676588" w:rsidRPr="00303FF7" w:rsidRDefault="00676588" w:rsidP="00E874F6">
      <w:pPr>
        <w:jc w:val="both"/>
        <w:rPr>
          <w:b/>
          <w:sz w:val="28"/>
          <w:szCs w:val="28"/>
          <w:lang w:val="en-GB"/>
        </w:rPr>
      </w:pPr>
      <w:r w:rsidRPr="00303FF7">
        <w:rPr>
          <w:b/>
          <w:sz w:val="28"/>
          <w:szCs w:val="28"/>
          <w:lang w:val="en-GB"/>
        </w:rPr>
        <w:t>Asses</w:t>
      </w:r>
      <w:r w:rsidR="00303FF7">
        <w:rPr>
          <w:b/>
          <w:sz w:val="28"/>
          <w:szCs w:val="28"/>
          <w:lang w:val="en-GB"/>
        </w:rPr>
        <w:t>s</w:t>
      </w:r>
      <w:r w:rsidRPr="00303FF7">
        <w:rPr>
          <w:b/>
          <w:sz w:val="28"/>
          <w:szCs w:val="28"/>
          <w:lang w:val="en-GB"/>
        </w:rPr>
        <w:t>ment of</w:t>
      </w:r>
      <w:r w:rsidR="00190C46">
        <w:rPr>
          <w:b/>
          <w:sz w:val="28"/>
          <w:szCs w:val="28"/>
          <w:lang w:val="en-GB"/>
        </w:rPr>
        <w:t xml:space="preserve"> the</w:t>
      </w:r>
      <w:r w:rsidRPr="00303FF7">
        <w:rPr>
          <w:b/>
          <w:sz w:val="28"/>
          <w:szCs w:val="28"/>
          <w:lang w:val="en-GB"/>
        </w:rPr>
        <w:t xml:space="preserve"> economic analysis </w:t>
      </w:r>
    </w:p>
    <w:p w:rsidR="0094026B" w:rsidRPr="00303FF7" w:rsidRDefault="0094026B" w:rsidP="00E874F6">
      <w:pPr>
        <w:jc w:val="both"/>
        <w:rPr>
          <w:b/>
          <w:sz w:val="28"/>
          <w:szCs w:val="28"/>
          <w:lang w:val="en-GB"/>
        </w:rPr>
      </w:pPr>
    </w:p>
    <w:p w:rsidR="00E70FE1" w:rsidRDefault="00164FC7" w:rsidP="00E70FE1">
      <w:pPr>
        <w:ind w:firstLine="708"/>
        <w:jc w:val="both"/>
        <w:rPr>
          <w:lang w:val="en-GB"/>
        </w:rPr>
      </w:pPr>
      <w:r>
        <w:rPr>
          <w:lang w:val="en-GB"/>
        </w:rPr>
        <w:t>The revenue-to-expense ratio has decreased from</w:t>
      </w:r>
      <w:r>
        <w:rPr>
          <w:b/>
          <w:lang w:val="en-GB"/>
        </w:rPr>
        <w:t xml:space="preserve"> </w:t>
      </w:r>
      <w:r w:rsidR="00A54B65">
        <w:rPr>
          <w:b/>
          <w:lang w:val="en-GB"/>
        </w:rPr>
        <w:t>3</w:t>
      </w:r>
      <w:r>
        <w:rPr>
          <w:b/>
          <w:lang w:val="en-GB"/>
        </w:rPr>
        <w:t>.</w:t>
      </w:r>
      <w:r w:rsidR="00931790">
        <w:rPr>
          <w:b/>
          <w:lang w:val="en-GB"/>
        </w:rPr>
        <w:t>54</w:t>
      </w:r>
      <w:r w:rsidR="00253E12">
        <w:rPr>
          <w:lang w:val="en-GB"/>
        </w:rPr>
        <w:t xml:space="preserve"> to</w:t>
      </w:r>
      <w:r w:rsidR="000A1E5E" w:rsidRPr="00303FF7">
        <w:rPr>
          <w:lang w:val="en-GB"/>
        </w:rPr>
        <w:t xml:space="preserve"> </w:t>
      </w:r>
      <w:r>
        <w:rPr>
          <w:b/>
          <w:lang w:val="en-GB"/>
        </w:rPr>
        <w:t>2.</w:t>
      </w:r>
      <w:r w:rsidR="00A54B65">
        <w:rPr>
          <w:b/>
          <w:lang w:val="en-GB"/>
        </w:rPr>
        <w:t>07</w:t>
      </w:r>
      <w:r w:rsidR="000A1E5E" w:rsidRPr="00303FF7">
        <w:rPr>
          <w:lang w:val="en-GB"/>
        </w:rPr>
        <w:t xml:space="preserve"> </w:t>
      </w:r>
      <w:r w:rsidR="00253E12">
        <w:rPr>
          <w:lang w:val="en-GB"/>
        </w:rPr>
        <w:t xml:space="preserve">due to </w:t>
      </w:r>
      <w:r w:rsidR="00E70FE1">
        <w:rPr>
          <w:lang w:val="en-GB"/>
        </w:rPr>
        <w:t xml:space="preserve">the </w:t>
      </w:r>
      <w:r w:rsidR="00253E12">
        <w:rPr>
          <w:lang w:val="en-GB"/>
        </w:rPr>
        <w:t xml:space="preserve">reasons described below. </w:t>
      </w:r>
      <w:r w:rsidR="00E70FE1">
        <w:rPr>
          <w:lang w:val="en-GB"/>
        </w:rPr>
        <w:t xml:space="preserve">This means that even though the revenue-to-expense ratio has decreased the project is still valid because benefits for society outweigh the costs related to the project implementation. </w:t>
      </w:r>
    </w:p>
    <w:p w:rsidR="000A1E5E" w:rsidRPr="00303FF7" w:rsidRDefault="000A1E5E" w:rsidP="00E70FE1">
      <w:pPr>
        <w:ind w:firstLine="708"/>
        <w:jc w:val="both"/>
        <w:rPr>
          <w:lang w:val="en-GB"/>
        </w:rPr>
      </w:pPr>
    </w:p>
    <w:tbl>
      <w:tblPr>
        <w:tblStyle w:val="Svetlmrieka"/>
        <w:tblW w:w="0" w:type="auto"/>
        <w:tblInd w:w="108" w:type="dxa"/>
        <w:tblLook w:val="04A0" w:firstRow="1" w:lastRow="0" w:firstColumn="1" w:lastColumn="0" w:noHBand="0" w:noVBand="1"/>
      </w:tblPr>
      <w:tblGrid>
        <w:gridCol w:w="2561"/>
        <w:gridCol w:w="3244"/>
        <w:gridCol w:w="3139"/>
      </w:tblGrid>
      <w:tr w:rsidR="000F34A2" w:rsidRPr="00303FF7" w:rsidTr="00E70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1" w:type="dxa"/>
          </w:tcPr>
          <w:p w:rsidR="000F34A2" w:rsidRPr="00303FF7" w:rsidRDefault="00676588" w:rsidP="00E874F6">
            <w:pPr>
              <w:jc w:val="both"/>
              <w:rPr>
                <w:b w:val="0"/>
                <w:lang w:val="en-GB"/>
              </w:rPr>
            </w:pPr>
            <w:r w:rsidRPr="00303FF7">
              <w:rPr>
                <w:b w:val="0"/>
                <w:lang w:val="en-GB"/>
              </w:rPr>
              <w:t>Passenger travel time</w:t>
            </w:r>
          </w:p>
        </w:tc>
        <w:tc>
          <w:tcPr>
            <w:tcW w:w="3244"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0F34A2" w:rsidRPr="00303FF7">
              <w:rPr>
                <w:lang w:val="en-GB"/>
              </w:rPr>
              <w:t xml:space="preserve"> </w:t>
            </w:r>
            <w:r w:rsidR="00A54B65">
              <w:rPr>
                <w:lang w:val="en-GB"/>
              </w:rPr>
              <w:t>74 073 143</w:t>
            </w:r>
            <w:r w:rsidR="003C56D2" w:rsidRPr="00303FF7">
              <w:rPr>
                <w:lang w:val="en-GB"/>
              </w:rPr>
              <w:t xml:space="preserve"> </w:t>
            </w:r>
            <w:r w:rsidR="000F34A2" w:rsidRPr="00303FF7">
              <w:rPr>
                <w:lang w:val="en-GB"/>
              </w:rPr>
              <w:t>EUR</w:t>
            </w:r>
          </w:p>
        </w:tc>
        <w:tc>
          <w:tcPr>
            <w:tcW w:w="3139"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updated</w:t>
            </w:r>
            <w:r w:rsidR="00A54B65">
              <w:rPr>
                <w:lang w:val="en-GB"/>
              </w:rPr>
              <w:t xml:space="preserve"> 77</w:t>
            </w:r>
            <w:r w:rsidR="00931790">
              <w:rPr>
                <w:lang w:val="en-GB"/>
              </w:rPr>
              <w:t> </w:t>
            </w:r>
            <w:r w:rsidR="00A54B65">
              <w:rPr>
                <w:lang w:val="en-GB"/>
              </w:rPr>
              <w:t>95</w:t>
            </w:r>
            <w:r w:rsidR="00931790">
              <w:rPr>
                <w:lang w:val="en-GB"/>
              </w:rPr>
              <w:t xml:space="preserve">6 </w:t>
            </w:r>
            <w:r w:rsidR="00A54B65">
              <w:rPr>
                <w:lang w:val="en-GB"/>
              </w:rPr>
              <w:t>1</w:t>
            </w:r>
            <w:r w:rsidR="00931790">
              <w:rPr>
                <w:lang w:val="en-GB"/>
              </w:rPr>
              <w:t>70</w:t>
            </w:r>
            <w:r w:rsidR="003C56D2" w:rsidRPr="00303FF7">
              <w:rPr>
                <w:lang w:val="en-GB"/>
              </w:rPr>
              <w:t xml:space="preserve"> </w:t>
            </w:r>
            <w:r w:rsidR="000F34A2" w:rsidRPr="00303FF7">
              <w:rPr>
                <w:lang w:val="en-GB"/>
              </w:rPr>
              <w:t>EUR</w:t>
            </w:r>
          </w:p>
        </w:tc>
      </w:tr>
    </w:tbl>
    <w:p w:rsidR="001141C2" w:rsidRDefault="00E70FE1" w:rsidP="00E874F6">
      <w:pPr>
        <w:jc w:val="both"/>
        <w:rPr>
          <w:lang w:val="en-GB"/>
        </w:rPr>
      </w:pPr>
      <w:r>
        <w:rPr>
          <w:lang w:val="en-GB"/>
        </w:rPr>
        <w:t>The higher traffic intensity on the new road has caused the increase of the passenger travel time.</w:t>
      </w:r>
      <w:r w:rsidR="001141C2">
        <w:rPr>
          <w:lang w:val="en-GB"/>
        </w:rPr>
        <w:t xml:space="preserve"> In 2017 </w:t>
      </w:r>
      <w:r>
        <w:rPr>
          <w:lang w:val="en-GB"/>
        </w:rPr>
        <w:t xml:space="preserve">the </w:t>
      </w:r>
      <w:r w:rsidR="001141C2">
        <w:rPr>
          <w:lang w:val="en-GB"/>
        </w:rPr>
        <w:t xml:space="preserve">real traffic data </w:t>
      </w:r>
      <w:r>
        <w:rPr>
          <w:lang w:val="en-GB"/>
        </w:rPr>
        <w:t>show</w:t>
      </w:r>
      <w:r w:rsidR="00931790">
        <w:rPr>
          <w:lang w:val="en-GB"/>
        </w:rPr>
        <w:t xml:space="preserve"> almost </w:t>
      </w:r>
      <w:r>
        <w:rPr>
          <w:lang w:val="en-GB"/>
        </w:rPr>
        <w:t>double increase of the</w:t>
      </w:r>
      <w:r w:rsidR="00931790">
        <w:rPr>
          <w:lang w:val="en-GB"/>
        </w:rPr>
        <w:t xml:space="preserve"> vehicles using </w:t>
      </w:r>
      <w:r>
        <w:rPr>
          <w:lang w:val="en-GB"/>
        </w:rPr>
        <w:t xml:space="preserve">the </w:t>
      </w:r>
      <w:r w:rsidR="00931790">
        <w:rPr>
          <w:lang w:val="en-GB"/>
        </w:rPr>
        <w:t xml:space="preserve">new bypass compared to </w:t>
      </w:r>
      <w:r>
        <w:rPr>
          <w:lang w:val="en-GB"/>
        </w:rPr>
        <w:t xml:space="preserve">the </w:t>
      </w:r>
      <w:r w:rsidR="00931790">
        <w:rPr>
          <w:lang w:val="en-GB"/>
        </w:rPr>
        <w:t>original prediction.</w:t>
      </w:r>
    </w:p>
    <w:p w:rsidR="008557C0" w:rsidRPr="00303FF7" w:rsidRDefault="008557C0" w:rsidP="00E874F6">
      <w:pPr>
        <w:jc w:val="both"/>
        <w:rPr>
          <w:lang w:val="en-GB"/>
        </w:rPr>
      </w:pPr>
    </w:p>
    <w:tbl>
      <w:tblPr>
        <w:tblStyle w:val="Svetlmrieka"/>
        <w:tblW w:w="0" w:type="auto"/>
        <w:tblInd w:w="108" w:type="dxa"/>
        <w:tblLook w:val="04A0" w:firstRow="1" w:lastRow="0" w:firstColumn="1" w:lastColumn="0" w:noHBand="0" w:noVBand="1"/>
      </w:tblPr>
      <w:tblGrid>
        <w:gridCol w:w="2592"/>
        <w:gridCol w:w="3294"/>
        <w:gridCol w:w="3186"/>
      </w:tblGrid>
      <w:tr w:rsidR="000F34A2" w:rsidRPr="00303FF7" w:rsidTr="000F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F34A2" w:rsidRPr="00303FF7" w:rsidRDefault="00676588" w:rsidP="00E874F6">
            <w:pPr>
              <w:jc w:val="both"/>
              <w:rPr>
                <w:b w:val="0"/>
                <w:lang w:val="en-GB"/>
              </w:rPr>
            </w:pPr>
            <w:r w:rsidRPr="00303FF7">
              <w:rPr>
                <w:b w:val="0"/>
                <w:lang w:val="en-GB"/>
              </w:rPr>
              <w:t xml:space="preserve">Vehicle operating cost </w:t>
            </w:r>
            <w:r w:rsidR="007349CE" w:rsidRPr="00303FF7">
              <w:rPr>
                <w:b w:val="0"/>
                <w:lang w:val="en-GB"/>
              </w:rPr>
              <w:t xml:space="preserve"> </w:t>
            </w:r>
          </w:p>
        </w:tc>
        <w:tc>
          <w:tcPr>
            <w:tcW w:w="3294"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0F34A2" w:rsidRPr="00303FF7">
              <w:rPr>
                <w:lang w:val="en-GB"/>
              </w:rPr>
              <w:t xml:space="preserve"> </w:t>
            </w:r>
            <w:r w:rsidR="00931790">
              <w:rPr>
                <w:lang w:val="en-GB"/>
              </w:rPr>
              <w:t>4 842 271</w:t>
            </w:r>
            <w:r w:rsidR="003C56D2" w:rsidRPr="00303FF7">
              <w:rPr>
                <w:lang w:val="en-GB"/>
              </w:rPr>
              <w:t xml:space="preserve"> </w:t>
            </w:r>
            <w:r w:rsidR="000F34A2" w:rsidRPr="00303FF7">
              <w:rPr>
                <w:lang w:val="en-GB"/>
              </w:rPr>
              <w:t>EUR</w:t>
            </w:r>
          </w:p>
        </w:tc>
        <w:tc>
          <w:tcPr>
            <w:tcW w:w="3186"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931790">
              <w:rPr>
                <w:lang w:val="en-GB"/>
              </w:rPr>
              <w:t>-9 000 359</w:t>
            </w:r>
            <w:r w:rsidR="003C56D2" w:rsidRPr="00303FF7">
              <w:rPr>
                <w:lang w:val="en-GB"/>
              </w:rPr>
              <w:t xml:space="preserve"> EUR</w:t>
            </w:r>
          </w:p>
        </w:tc>
      </w:tr>
    </w:tbl>
    <w:p w:rsidR="001141C2" w:rsidRDefault="001141C2" w:rsidP="00E874F6">
      <w:pPr>
        <w:jc w:val="both"/>
        <w:rPr>
          <w:lang w:val="en-GB"/>
        </w:rPr>
      </w:pPr>
      <w:r>
        <w:rPr>
          <w:lang w:val="en-GB"/>
        </w:rPr>
        <w:t>There are no savings in</w:t>
      </w:r>
      <w:r w:rsidR="001D4619">
        <w:rPr>
          <w:lang w:val="en-GB"/>
        </w:rPr>
        <w:t xml:space="preserve"> the</w:t>
      </w:r>
      <w:r>
        <w:rPr>
          <w:lang w:val="en-GB"/>
        </w:rPr>
        <w:t xml:space="preserve"> vehicle operating cost. This is caused by</w:t>
      </w:r>
      <w:r w:rsidR="001D4619">
        <w:rPr>
          <w:lang w:val="en-GB"/>
        </w:rPr>
        <w:t xml:space="preserve"> the</w:t>
      </w:r>
      <w:r>
        <w:rPr>
          <w:lang w:val="en-GB"/>
        </w:rPr>
        <w:t xml:space="preserve"> lower traffic intensities</w:t>
      </w:r>
      <w:r w:rsidR="00931790">
        <w:rPr>
          <w:lang w:val="en-GB"/>
        </w:rPr>
        <w:t xml:space="preserve"> on all selected road sections even though </w:t>
      </w:r>
      <w:r w:rsidR="001D4619">
        <w:rPr>
          <w:lang w:val="en-GB"/>
        </w:rPr>
        <w:t xml:space="preserve">the </w:t>
      </w:r>
      <w:r w:rsidR="00931790">
        <w:rPr>
          <w:lang w:val="en-GB"/>
        </w:rPr>
        <w:t xml:space="preserve">intensity on </w:t>
      </w:r>
      <w:r w:rsidR="001D4619">
        <w:rPr>
          <w:lang w:val="en-GB"/>
        </w:rPr>
        <w:t xml:space="preserve">the </w:t>
      </w:r>
      <w:r w:rsidR="00931790">
        <w:rPr>
          <w:lang w:val="en-GB"/>
        </w:rPr>
        <w:t xml:space="preserve">new </w:t>
      </w:r>
      <w:r w:rsidR="001D4619">
        <w:rPr>
          <w:lang w:val="en-GB"/>
        </w:rPr>
        <w:t>expressway</w:t>
      </w:r>
      <w:r w:rsidR="00931790">
        <w:rPr>
          <w:lang w:val="en-GB"/>
        </w:rPr>
        <w:t xml:space="preserve"> bypass of </w:t>
      </w:r>
      <w:r w:rsidR="001D4619">
        <w:rPr>
          <w:lang w:val="en-GB"/>
        </w:rPr>
        <w:t xml:space="preserve">R2 </w:t>
      </w:r>
      <w:proofErr w:type="spellStart"/>
      <w:r w:rsidR="00931790">
        <w:rPr>
          <w:lang w:val="en-GB"/>
        </w:rPr>
        <w:t>Žiar</w:t>
      </w:r>
      <w:proofErr w:type="spellEnd"/>
      <w:r w:rsidR="00931790">
        <w:rPr>
          <w:lang w:val="en-GB"/>
        </w:rPr>
        <w:t xml:space="preserve"> </w:t>
      </w:r>
      <w:proofErr w:type="spellStart"/>
      <w:proofErr w:type="gramStart"/>
      <w:r w:rsidR="00931790">
        <w:rPr>
          <w:lang w:val="en-GB"/>
        </w:rPr>
        <w:t>nad</w:t>
      </w:r>
      <w:proofErr w:type="spellEnd"/>
      <w:proofErr w:type="gramEnd"/>
      <w:r w:rsidR="00931790">
        <w:rPr>
          <w:lang w:val="en-GB"/>
        </w:rPr>
        <w:t xml:space="preserve"> </w:t>
      </w:r>
      <w:proofErr w:type="spellStart"/>
      <w:r w:rsidR="00931790">
        <w:rPr>
          <w:lang w:val="en-GB"/>
        </w:rPr>
        <w:t>Hronom</w:t>
      </w:r>
      <w:proofErr w:type="spellEnd"/>
      <w:r w:rsidR="00931790">
        <w:rPr>
          <w:lang w:val="en-GB"/>
        </w:rPr>
        <w:t xml:space="preserve"> </w:t>
      </w:r>
      <w:r w:rsidR="001D4619">
        <w:rPr>
          <w:lang w:val="en-GB"/>
        </w:rPr>
        <w:t xml:space="preserve">has </w:t>
      </w:r>
      <w:r w:rsidR="00931790">
        <w:rPr>
          <w:lang w:val="en-GB"/>
        </w:rPr>
        <w:t>increased.</w:t>
      </w:r>
    </w:p>
    <w:p w:rsidR="00C8283B" w:rsidRPr="00303FF7" w:rsidRDefault="00C8283B" w:rsidP="00E874F6">
      <w:pPr>
        <w:jc w:val="both"/>
        <w:rPr>
          <w:lang w:val="en-GB"/>
        </w:rPr>
      </w:pPr>
    </w:p>
    <w:tbl>
      <w:tblPr>
        <w:tblStyle w:val="Svetlmrieka"/>
        <w:tblW w:w="0" w:type="auto"/>
        <w:tblInd w:w="108" w:type="dxa"/>
        <w:tblLook w:val="04A0" w:firstRow="1" w:lastRow="0" w:firstColumn="1" w:lastColumn="0" w:noHBand="0" w:noVBand="1"/>
      </w:tblPr>
      <w:tblGrid>
        <w:gridCol w:w="2592"/>
        <w:gridCol w:w="3294"/>
        <w:gridCol w:w="3186"/>
      </w:tblGrid>
      <w:tr w:rsidR="000F34A2" w:rsidRPr="00303FF7" w:rsidTr="000F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0F34A2" w:rsidRPr="00303FF7" w:rsidRDefault="00676588" w:rsidP="00E874F6">
            <w:pPr>
              <w:jc w:val="both"/>
              <w:rPr>
                <w:b w:val="0"/>
                <w:lang w:val="en-GB"/>
              </w:rPr>
            </w:pPr>
            <w:r w:rsidRPr="00303FF7">
              <w:rPr>
                <w:b w:val="0"/>
                <w:lang w:val="en-GB"/>
              </w:rPr>
              <w:t>Accidents</w:t>
            </w:r>
          </w:p>
        </w:tc>
        <w:tc>
          <w:tcPr>
            <w:tcW w:w="3294"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original</w:t>
            </w:r>
            <w:r w:rsidR="000F34A2" w:rsidRPr="00303FF7">
              <w:rPr>
                <w:lang w:val="en-GB"/>
              </w:rPr>
              <w:t xml:space="preserve"> </w:t>
            </w:r>
            <w:r w:rsidR="00931790">
              <w:rPr>
                <w:lang w:val="en-GB"/>
              </w:rPr>
              <w:t>279 301</w:t>
            </w:r>
            <w:r w:rsidR="003C56D2" w:rsidRPr="00303FF7">
              <w:rPr>
                <w:lang w:val="en-GB"/>
              </w:rPr>
              <w:t xml:space="preserve"> </w:t>
            </w:r>
            <w:r w:rsidR="000F34A2" w:rsidRPr="00303FF7">
              <w:rPr>
                <w:lang w:val="en-GB"/>
              </w:rPr>
              <w:t>EUR</w:t>
            </w:r>
          </w:p>
        </w:tc>
        <w:tc>
          <w:tcPr>
            <w:tcW w:w="3186" w:type="dxa"/>
          </w:tcPr>
          <w:p w:rsidR="000F34A2" w:rsidRPr="00303FF7" w:rsidRDefault="00676588" w:rsidP="00E874F6">
            <w:pPr>
              <w:jc w:val="both"/>
              <w:cnfStyle w:val="100000000000" w:firstRow="1" w:lastRow="0" w:firstColumn="0" w:lastColumn="0" w:oddVBand="0" w:evenVBand="0" w:oddHBand="0" w:evenHBand="0" w:firstRowFirstColumn="0" w:firstRowLastColumn="0" w:lastRowFirstColumn="0" w:lastRowLastColumn="0"/>
              <w:rPr>
                <w:lang w:val="en-GB"/>
              </w:rPr>
            </w:pPr>
            <w:r w:rsidRPr="00303FF7">
              <w:rPr>
                <w:lang w:val="en-GB"/>
              </w:rPr>
              <w:t xml:space="preserve">updated </w:t>
            </w:r>
            <w:r w:rsidR="00931790">
              <w:rPr>
                <w:lang w:val="en-GB"/>
              </w:rPr>
              <w:t>-16 899 650</w:t>
            </w:r>
            <w:r w:rsidR="003C56D2" w:rsidRPr="00303FF7">
              <w:rPr>
                <w:lang w:val="en-GB"/>
              </w:rPr>
              <w:t xml:space="preserve"> EUR</w:t>
            </w:r>
          </w:p>
        </w:tc>
      </w:tr>
    </w:tbl>
    <w:p w:rsidR="00693963" w:rsidRDefault="00931790" w:rsidP="00E874F6">
      <w:pPr>
        <w:jc w:val="both"/>
        <w:rPr>
          <w:lang w:val="en-GB"/>
        </w:rPr>
      </w:pPr>
      <w:r>
        <w:rPr>
          <w:lang w:val="en-GB"/>
        </w:rPr>
        <w:t xml:space="preserve">Update of </w:t>
      </w:r>
      <w:r w:rsidR="001D4619">
        <w:rPr>
          <w:lang w:val="en-GB"/>
        </w:rPr>
        <w:t xml:space="preserve">the </w:t>
      </w:r>
      <w:r>
        <w:rPr>
          <w:lang w:val="en-GB"/>
        </w:rPr>
        <w:t xml:space="preserve">traffic accidents shows significantly higher accident rate than what was </w:t>
      </w:r>
      <w:r w:rsidR="00942529">
        <w:rPr>
          <w:lang w:val="en-GB"/>
        </w:rPr>
        <w:t xml:space="preserve">estimated </w:t>
      </w:r>
      <w:r>
        <w:rPr>
          <w:lang w:val="en-GB"/>
        </w:rPr>
        <w:t xml:space="preserve">in </w:t>
      </w:r>
      <w:r w:rsidR="001D4619">
        <w:rPr>
          <w:lang w:val="en-GB"/>
        </w:rPr>
        <w:t xml:space="preserve">the </w:t>
      </w:r>
      <w:r>
        <w:rPr>
          <w:lang w:val="en-GB"/>
        </w:rPr>
        <w:t>original CBA. T</w:t>
      </w:r>
      <w:r w:rsidR="00942529">
        <w:rPr>
          <w:lang w:val="en-GB"/>
        </w:rPr>
        <w:t>he Slovak Traffic Police</w:t>
      </w:r>
      <w:r>
        <w:rPr>
          <w:lang w:val="en-GB"/>
        </w:rPr>
        <w:t xml:space="preserve"> does not register any “critical section” in this area although</w:t>
      </w:r>
      <w:r w:rsidR="00942529">
        <w:rPr>
          <w:lang w:val="en-GB"/>
        </w:rPr>
        <w:t xml:space="preserve"> the</w:t>
      </w:r>
      <w:r>
        <w:rPr>
          <w:lang w:val="en-GB"/>
        </w:rPr>
        <w:t xml:space="preserve"> main road through city of </w:t>
      </w:r>
      <w:proofErr w:type="spellStart"/>
      <w:r>
        <w:rPr>
          <w:lang w:val="en-GB"/>
        </w:rPr>
        <w:t>Žiar</w:t>
      </w:r>
      <w:proofErr w:type="spellEnd"/>
      <w:r>
        <w:rPr>
          <w:lang w:val="en-GB"/>
        </w:rPr>
        <w:t xml:space="preserve"> </w:t>
      </w:r>
      <w:proofErr w:type="spellStart"/>
      <w:proofErr w:type="gramStart"/>
      <w:r>
        <w:rPr>
          <w:lang w:val="en-GB"/>
        </w:rPr>
        <w:t>nad</w:t>
      </w:r>
      <w:proofErr w:type="spellEnd"/>
      <w:proofErr w:type="gramEnd"/>
      <w:r>
        <w:rPr>
          <w:lang w:val="en-GB"/>
        </w:rPr>
        <w:t xml:space="preserve"> </w:t>
      </w:r>
      <w:proofErr w:type="spellStart"/>
      <w:r>
        <w:rPr>
          <w:lang w:val="en-GB"/>
        </w:rPr>
        <w:t>Hronom</w:t>
      </w:r>
      <w:proofErr w:type="spellEnd"/>
      <w:r w:rsidR="002375D3">
        <w:rPr>
          <w:lang w:val="en-GB"/>
        </w:rPr>
        <w:t xml:space="preserve"> </w:t>
      </w:r>
      <w:r w:rsidR="00942529">
        <w:rPr>
          <w:lang w:val="en-GB"/>
        </w:rPr>
        <w:t xml:space="preserve">is still classified as </w:t>
      </w:r>
      <w:r w:rsidR="002375D3">
        <w:rPr>
          <w:lang w:val="en-GB"/>
        </w:rPr>
        <w:t>very dangerous.</w:t>
      </w:r>
    </w:p>
    <w:p w:rsidR="002C00EF" w:rsidRDefault="002C00EF" w:rsidP="00E874F6">
      <w:pPr>
        <w:jc w:val="both"/>
        <w:rPr>
          <w:lang w:val="en-GB"/>
        </w:rPr>
      </w:pPr>
    </w:p>
    <w:p w:rsidR="002C00EF" w:rsidRDefault="002C00EF" w:rsidP="002C00EF">
      <w:pPr>
        <w:jc w:val="center"/>
        <w:rPr>
          <w:b/>
          <w:sz w:val="28"/>
          <w:szCs w:val="28"/>
          <w:lang w:val="en-GB"/>
        </w:rPr>
      </w:pPr>
    </w:p>
    <w:p w:rsidR="002C00EF" w:rsidRPr="00303FF7" w:rsidRDefault="002C00EF" w:rsidP="002C00EF">
      <w:pPr>
        <w:jc w:val="center"/>
        <w:rPr>
          <w:b/>
          <w:sz w:val="28"/>
          <w:szCs w:val="28"/>
          <w:lang w:val="en-GB"/>
        </w:rPr>
      </w:pPr>
      <w:bookmarkStart w:id="0" w:name="_GoBack"/>
      <w:bookmarkEnd w:id="0"/>
      <w:r>
        <w:rPr>
          <w:b/>
          <w:sz w:val="28"/>
          <w:szCs w:val="28"/>
          <w:lang w:val="en-GB"/>
        </w:rPr>
        <w:t>Conclusions</w:t>
      </w:r>
    </w:p>
    <w:p w:rsidR="002C00EF" w:rsidRDefault="002C00EF" w:rsidP="002C00EF">
      <w:pPr>
        <w:ind w:firstLine="708"/>
        <w:jc w:val="both"/>
        <w:rPr>
          <w:lang w:val="en-GB"/>
        </w:rPr>
      </w:pPr>
    </w:p>
    <w:p w:rsidR="002C00EF" w:rsidRDefault="002C00EF" w:rsidP="002C00EF">
      <w:pPr>
        <w:jc w:val="both"/>
        <w:rPr>
          <w:lang w:val="en-GB"/>
        </w:rPr>
      </w:pPr>
      <w:r w:rsidRPr="00534309">
        <w:rPr>
          <w:lang w:val="en-GB"/>
        </w:rPr>
        <w:t>The ex-post CBA proved the justification for financing of the project from EU funds. The financial analysis conf</w:t>
      </w:r>
      <w:r>
        <w:rPr>
          <w:lang w:val="en-GB"/>
        </w:rPr>
        <w:t>i</w:t>
      </w:r>
      <w:r w:rsidRPr="00534309">
        <w:rPr>
          <w:lang w:val="en-GB"/>
        </w:rPr>
        <w:t>rmed the assumption that the project as such is unable to cover the expenses with its incomes and therefore a contribution from the Cohesion fund is necessary. The economic analysis also confirmed the effectiveness of using public sources as the project´s revenues for the society overweigh the expenses.</w:t>
      </w:r>
    </w:p>
    <w:p w:rsidR="00693963" w:rsidRDefault="00693963" w:rsidP="00E874F6">
      <w:pPr>
        <w:jc w:val="both"/>
        <w:rPr>
          <w:lang w:val="en-GB"/>
        </w:rPr>
      </w:pPr>
    </w:p>
    <w:sectPr w:rsidR="00693963" w:rsidSect="00190C4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0D"/>
    <w:rsid w:val="000236DC"/>
    <w:rsid w:val="000A1E5E"/>
    <w:rsid w:val="000A2E16"/>
    <w:rsid w:val="000F34A2"/>
    <w:rsid w:val="001141C2"/>
    <w:rsid w:val="00164FC7"/>
    <w:rsid w:val="00182228"/>
    <w:rsid w:val="00190C46"/>
    <w:rsid w:val="001B60C2"/>
    <w:rsid w:val="001D4619"/>
    <w:rsid w:val="001D6403"/>
    <w:rsid w:val="001D7B81"/>
    <w:rsid w:val="002077DE"/>
    <w:rsid w:val="00215139"/>
    <w:rsid w:val="002375D3"/>
    <w:rsid w:val="00253E12"/>
    <w:rsid w:val="00270C19"/>
    <w:rsid w:val="002C00EF"/>
    <w:rsid w:val="00303FF7"/>
    <w:rsid w:val="00342B17"/>
    <w:rsid w:val="003633F7"/>
    <w:rsid w:val="00365418"/>
    <w:rsid w:val="00367D1B"/>
    <w:rsid w:val="00367DD4"/>
    <w:rsid w:val="003762D3"/>
    <w:rsid w:val="003A6ABC"/>
    <w:rsid w:val="003C56D2"/>
    <w:rsid w:val="00426529"/>
    <w:rsid w:val="004644B7"/>
    <w:rsid w:val="00474E70"/>
    <w:rsid w:val="004A323E"/>
    <w:rsid w:val="004C4DF7"/>
    <w:rsid w:val="004D4455"/>
    <w:rsid w:val="005220BE"/>
    <w:rsid w:val="00563361"/>
    <w:rsid w:val="005745E0"/>
    <w:rsid w:val="005D0DCB"/>
    <w:rsid w:val="005D631E"/>
    <w:rsid w:val="005D6998"/>
    <w:rsid w:val="005E35CB"/>
    <w:rsid w:val="005F503D"/>
    <w:rsid w:val="00603A18"/>
    <w:rsid w:val="006310B6"/>
    <w:rsid w:val="006311AE"/>
    <w:rsid w:val="00655276"/>
    <w:rsid w:val="00676588"/>
    <w:rsid w:val="00681A19"/>
    <w:rsid w:val="00693963"/>
    <w:rsid w:val="006B45E2"/>
    <w:rsid w:val="00727318"/>
    <w:rsid w:val="00733360"/>
    <w:rsid w:val="007349CE"/>
    <w:rsid w:val="00740AD4"/>
    <w:rsid w:val="007527C2"/>
    <w:rsid w:val="0077739A"/>
    <w:rsid w:val="00777D62"/>
    <w:rsid w:val="007C44E8"/>
    <w:rsid w:val="007D6DD8"/>
    <w:rsid w:val="007E529D"/>
    <w:rsid w:val="0085231A"/>
    <w:rsid w:val="00852EBE"/>
    <w:rsid w:val="008557C0"/>
    <w:rsid w:val="00856DF3"/>
    <w:rsid w:val="00890804"/>
    <w:rsid w:val="008A79D7"/>
    <w:rsid w:val="008D63D9"/>
    <w:rsid w:val="008F0DC4"/>
    <w:rsid w:val="009010C3"/>
    <w:rsid w:val="00902539"/>
    <w:rsid w:val="00927ACE"/>
    <w:rsid w:val="00931790"/>
    <w:rsid w:val="00936738"/>
    <w:rsid w:val="0094026B"/>
    <w:rsid w:val="00942529"/>
    <w:rsid w:val="00954445"/>
    <w:rsid w:val="00975506"/>
    <w:rsid w:val="009A2E41"/>
    <w:rsid w:val="009A5205"/>
    <w:rsid w:val="009B2E0D"/>
    <w:rsid w:val="009C758A"/>
    <w:rsid w:val="009E2929"/>
    <w:rsid w:val="00A034A5"/>
    <w:rsid w:val="00A06352"/>
    <w:rsid w:val="00A10A96"/>
    <w:rsid w:val="00A36B27"/>
    <w:rsid w:val="00A54B65"/>
    <w:rsid w:val="00A64A32"/>
    <w:rsid w:val="00A65176"/>
    <w:rsid w:val="00A91AAA"/>
    <w:rsid w:val="00B64A7C"/>
    <w:rsid w:val="00BA6C19"/>
    <w:rsid w:val="00BB5346"/>
    <w:rsid w:val="00BB6798"/>
    <w:rsid w:val="00BF19F9"/>
    <w:rsid w:val="00C0220D"/>
    <w:rsid w:val="00C476B9"/>
    <w:rsid w:val="00C60E8C"/>
    <w:rsid w:val="00C74C62"/>
    <w:rsid w:val="00C77CA9"/>
    <w:rsid w:val="00C8283B"/>
    <w:rsid w:val="00CA27CB"/>
    <w:rsid w:val="00D113FE"/>
    <w:rsid w:val="00D11533"/>
    <w:rsid w:val="00D606CD"/>
    <w:rsid w:val="00E06665"/>
    <w:rsid w:val="00E633D5"/>
    <w:rsid w:val="00E70FE1"/>
    <w:rsid w:val="00E874F6"/>
    <w:rsid w:val="00E964BB"/>
    <w:rsid w:val="00EA7B41"/>
    <w:rsid w:val="00EC3E2B"/>
    <w:rsid w:val="00EC5574"/>
    <w:rsid w:val="00EF01F1"/>
    <w:rsid w:val="00F07B18"/>
    <w:rsid w:val="00F340A9"/>
    <w:rsid w:val="00F407AF"/>
    <w:rsid w:val="00F6042E"/>
    <w:rsid w:val="00F77623"/>
    <w:rsid w:val="00FC2E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2E0D"/>
    <w:pPr>
      <w:spacing w:after="0" w:line="240"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B2E0D"/>
    <w:rPr>
      <w:rFonts w:ascii="Tahoma" w:hAnsi="Tahoma" w:cs="Tahoma"/>
      <w:sz w:val="16"/>
      <w:szCs w:val="16"/>
    </w:rPr>
  </w:style>
  <w:style w:type="character" w:customStyle="1" w:styleId="TextbublinyChar">
    <w:name w:val="Text bubliny Char"/>
    <w:basedOn w:val="Predvolenpsmoodseku"/>
    <w:link w:val="Textbubliny"/>
    <w:uiPriority w:val="99"/>
    <w:semiHidden/>
    <w:rsid w:val="009B2E0D"/>
    <w:rPr>
      <w:rFonts w:ascii="Tahoma" w:hAnsi="Tahoma" w:cs="Tahoma"/>
      <w:sz w:val="16"/>
      <w:szCs w:val="16"/>
    </w:rPr>
  </w:style>
  <w:style w:type="table" w:styleId="Mriekatabuky">
    <w:name w:val="Table Grid"/>
    <w:basedOn w:val="Normlnatabuka"/>
    <w:uiPriority w:val="59"/>
    <w:rsid w:val="0046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mrieka">
    <w:name w:val="Light Grid"/>
    <w:basedOn w:val="Normlnatabuka"/>
    <w:uiPriority w:val="62"/>
    <w:rsid w:val="004644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2E0D"/>
    <w:pPr>
      <w:spacing w:after="0" w:line="240" w:lineRule="auto"/>
    </w:pPr>
    <w:rPr>
      <w:rFonts w:ascii="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B2E0D"/>
    <w:rPr>
      <w:rFonts w:ascii="Tahoma" w:hAnsi="Tahoma" w:cs="Tahoma"/>
      <w:sz w:val="16"/>
      <w:szCs w:val="16"/>
    </w:rPr>
  </w:style>
  <w:style w:type="character" w:customStyle="1" w:styleId="TextbublinyChar">
    <w:name w:val="Text bubliny Char"/>
    <w:basedOn w:val="Predvolenpsmoodseku"/>
    <w:link w:val="Textbubliny"/>
    <w:uiPriority w:val="99"/>
    <w:semiHidden/>
    <w:rsid w:val="009B2E0D"/>
    <w:rPr>
      <w:rFonts w:ascii="Tahoma" w:hAnsi="Tahoma" w:cs="Tahoma"/>
      <w:sz w:val="16"/>
      <w:szCs w:val="16"/>
    </w:rPr>
  </w:style>
  <w:style w:type="table" w:styleId="Mriekatabuky">
    <w:name w:val="Table Grid"/>
    <w:basedOn w:val="Normlnatabuka"/>
    <w:uiPriority w:val="59"/>
    <w:rsid w:val="0046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mrieka">
    <w:name w:val="Light Grid"/>
    <w:basedOn w:val="Normlnatabuka"/>
    <w:uiPriority w:val="62"/>
    <w:rsid w:val="004644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2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729</Words>
  <Characters>4158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Vajdiak, Peter</dc:creator>
  <cp:lastModifiedBy>Vajdiak, Peter</cp:lastModifiedBy>
  <cp:revision>10</cp:revision>
  <dcterms:created xsi:type="dcterms:W3CDTF">2018-06-28T10:48:00Z</dcterms:created>
  <dcterms:modified xsi:type="dcterms:W3CDTF">2018-07-02T09:12:00Z</dcterms:modified>
</cp:coreProperties>
</file>